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92" w:rsidRPr="00CC1786" w:rsidRDefault="00836992" w:rsidP="00CC1786">
      <w:pPr>
        <w:pStyle w:val="Title"/>
        <w:pBdr>
          <w:bottom w:val="single" w:sz="8" w:space="4" w:color="007C5A"/>
        </w:pBdr>
        <w:rPr>
          <w:b/>
          <w:color w:val="007C5A"/>
        </w:rPr>
      </w:pPr>
      <w:r w:rsidRPr="00CC1786">
        <w:rPr>
          <w:b/>
          <w:color w:val="007C5A"/>
        </w:rPr>
        <w:t xml:space="preserve">The </w:t>
      </w:r>
      <w:r w:rsidR="00CC1786" w:rsidRPr="00CC1786">
        <w:rPr>
          <w:b/>
          <w:color w:val="007C5A"/>
        </w:rPr>
        <w:t xml:space="preserve">Western Australian sheep flock- </w:t>
      </w:r>
      <w:bookmarkStart w:id="0" w:name="_GoBack"/>
      <w:r w:rsidR="00CC1786" w:rsidRPr="00CC1786">
        <w:rPr>
          <w:b/>
          <w:color w:val="007C5A"/>
        </w:rPr>
        <w:t>future scenarios</w:t>
      </w:r>
    </w:p>
    <w:bookmarkEnd w:id="0"/>
    <w:p w:rsidR="00CC1786" w:rsidRPr="00CC1786" w:rsidRDefault="00CC1786" w:rsidP="00CC1786">
      <w:pPr>
        <w:pStyle w:val="Heading2"/>
        <w:spacing w:after="200"/>
        <w:rPr>
          <w:rFonts w:asciiTheme="minorHAnsi" w:hAnsiTheme="minorHAnsi"/>
          <w:color w:val="007C5A"/>
          <w:sz w:val="28"/>
        </w:rPr>
      </w:pPr>
      <w:r w:rsidRPr="00CC1786">
        <w:rPr>
          <w:rFonts w:asciiTheme="minorHAnsi" w:hAnsiTheme="minorHAnsi"/>
          <w:color w:val="007C5A"/>
          <w:sz w:val="28"/>
        </w:rPr>
        <w:t>Pre</w:t>
      </w:r>
      <w:r w:rsidR="00C57A16">
        <w:rPr>
          <w:rFonts w:asciiTheme="minorHAnsi" w:hAnsiTheme="minorHAnsi"/>
          <w:color w:val="007C5A"/>
          <w:sz w:val="28"/>
        </w:rPr>
        <w:t>pared by Kate Pritchett, May</w:t>
      </w:r>
      <w:r w:rsidRPr="00CC1786">
        <w:rPr>
          <w:rFonts w:asciiTheme="minorHAnsi" w:hAnsiTheme="minorHAnsi"/>
          <w:color w:val="007C5A"/>
          <w:sz w:val="28"/>
        </w:rPr>
        <w:t xml:space="preserve"> 2016 </w:t>
      </w:r>
    </w:p>
    <w:p w:rsidR="008D777D" w:rsidRPr="00CC1786" w:rsidRDefault="008D777D" w:rsidP="008D777D">
      <w:pPr>
        <w:pStyle w:val="Heading1"/>
        <w:rPr>
          <w:color w:val="007C5A"/>
        </w:rPr>
      </w:pPr>
      <w:r w:rsidRPr="00CC1786">
        <w:rPr>
          <w:color w:val="007C5A"/>
        </w:rPr>
        <w:t>The Western Australian sheep flock</w:t>
      </w:r>
    </w:p>
    <w:p w:rsidR="008D777D" w:rsidRPr="008D777D" w:rsidRDefault="00BB1499" w:rsidP="00436199">
      <w:r>
        <w:t>The Western Australian sheep flock peaked during 1990 at 38.4 million head. Since this period there has been a relatively steep</w:t>
      </w:r>
      <w:r w:rsidR="00C57A16">
        <w:t xml:space="preserve"> decline in sheep numbers to 14.01</w:t>
      </w:r>
      <w:r>
        <w:t xml:space="preserve"> million head in mid-2015</w:t>
      </w:r>
      <w:r w:rsidR="00436199">
        <w:t xml:space="preserve"> as seen in </w:t>
      </w:r>
      <w:r w:rsidR="00436199">
        <w:fldChar w:fldCharType="begin"/>
      </w:r>
      <w:r w:rsidR="00436199">
        <w:instrText xml:space="preserve"> REF _Ref441742392 \h </w:instrText>
      </w:r>
      <w:r w:rsidR="00436199">
        <w:fldChar w:fldCharType="separate"/>
      </w:r>
      <w:r w:rsidR="00436199">
        <w:t xml:space="preserve">Figure </w:t>
      </w:r>
      <w:r w:rsidR="00436199">
        <w:rPr>
          <w:noProof/>
        </w:rPr>
        <w:t>1</w:t>
      </w:r>
      <w:r w:rsidR="00436199">
        <w:fldChar w:fldCharType="end"/>
      </w:r>
      <w:r w:rsidR="00436199">
        <w:t xml:space="preserve">. </w:t>
      </w:r>
    </w:p>
    <w:p w:rsidR="008D777D" w:rsidRDefault="00C57A16" w:rsidP="008D777D">
      <w:pPr>
        <w:keepNext/>
      </w:pPr>
      <w:r>
        <w:rPr>
          <w:noProof/>
          <w:lang w:val="en-US"/>
        </w:rPr>
        <w:drawing>
          <wp:inline distT="0" distB="0" distL="0" distR="0" wp14:anchorId="7AB62E3C" wp14:editId="7C41391E">
            <wp:extent cx="5724525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EF8" w:rsidRPr="00CC1786" w:rsidRDefault="008D777D" w:rsidP="008D777D">
      <w:pPr>
        <w:pStyle w:val="Caption"/>
        <w:rPr>
          <w:color w:val="auto"/>
        </w:rPr>
      </w:pPr>
      <w:bookmarkStart w:id="1" w:name="_Ref441742392"/>
      <w:r w:rsidRPr="00CC1786">
        <w:rPr>
          <w:color w:val="auto"/>
        </w:rPr>
        <w:t xml:space="preserve">Figure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Figure \* ARABIC </w:instrText>
      </w:r>
      <w:r w:rsidR="00F24B54" w:rsidRPr="00CC1786">
        <w:rPr>
          <w:color w:val="auto"/>
        </w:rPr>
        <w:fldChar w:fldCharType="separate"/>
      </w:r>
      <w:r w:rsidR="00552AB8" w:rsidRPr="00CC1786">
        <w:rPr>
          <w:noProof/>
          <w:color w:val="auto"/>
        </w:rPr>
        <w:t>1</w:t>
      </w:r>
      <w:r w:rsidR="00F24B54" w:rsidRPr="00CC1786">
        <w:rPr>
          <w:noProof/>
          <w:color w:val="auto"/>
        </w:rPr>
        <w:fldChar w:fldCharType="end"/>
      </w:r>
      <w:bookmarkEnd w:id="1"/>
      <w:r w:rsidRPr="00CC1786">
        <w:rPr>
          <w:color w:val="auto"/>
        </w:rPr>
        <w:t xml:space="preserve"> Western Australian sheep population (Source: Based on ABS data, DAFWA analysis)</w:t>
      </w:r>
    </w:p>
    <w:p w:rsidR="00436199" w:rsidRDefault="00BD1AA9" w:rsidP="00436199">
      <w:r>
        <w:t xml:space="preserve">A closer look at the more recent </w:t>
      </w:r>
      <w:r w:rsidR="00B17798">
        <w:t xml:space="preserve">years </w:t>
      </w:r>
      <w:r>
        <w:t>shows that t</w:t>
      </w:r>
      <w:r w:rsidRPr="00897CB9">
        <w:t xml:space="preserve">he Western Australian sheep flock </w:t>
      </w:r>
      <w:r>
        <w:t>was sold down sharply</w:t>
      </w:r>
      <w:r w:rsidRPr="00897CB9">
        <w:t xml:space="preserve"> between 200</w:t>
      </w:r>
      <w:r>
        <w:t>5</w:t>
      </w:r>
      <w:r w:rsidRPr="00897CB9">
        <w:t xml:space="preserve"> and 201</w:t>
      </w:r>
      <w:r>
        <w:t>1</w:t>
      </w:r>
      <w:r w:rsidRPr="00897CB9">
        <w:t>. Between 201</w:t>
      </w:r>
      <w:r>
        <w:t>1</w:t>
      </w:r>
      <w:r w:rsidRPr="00897CB9">
        <w:t xml:space="preserve"> and 201</w:t>
      </w:r>
      <w:r>
        <w:t>3, flock rebuilding resulted in an increase of 10% from 14.0 million head to 15.5</w:t>
      </w:r>
      <w:r w:rsidRPr="00897CB9">
        <w:t xml:space="preserve"> mi</w:t>
      </w:r>
      <w:r>
        <w:t>llion head</w:t>
      </w:r>
      <w:r w:rsidR="00FF5062">
        <w:t xml:space="preserve">. However since then the WA sheep flock has </w:t>
      </w:r>
      <w:r w:rsidR="00BF4E10">
        <w:t>once again been reduced to 14.0 million</w:t>
      </w:r>
      <w:r w:rsidR="00FF5062">
        <w:t xml:space="preserve"> head a</w:t>
      </w:r>
      <w:r>
        <w:t>s of the 30</w:t>
      </w:r>
      <w:r w:rsidRPr="00BD1AA9">
        <w:rPr>
          <w:vertAlign w:val="superscript"/>
        </w:rPr>
        <w:t>th</w:t>
      </w:r>
      <w:r w:rsidR="00FF5062">
        <w:t xml:space="preserve"> of June 2015 as seen below in </w:t>
      </w:r>
      <w:r w:rsidR="00FF5062">
        <w:fldChar w:fldCharType="begin"/>
      </w:r>
      <w:r w:rsidR="00FF5062">
        <w:instrText xml:space="preserve"> REF _Ref441742800 \h </w:instrText>
      </w:r>
      <w:r w:rsidR="00FF5062">
        <w:fldChar w:fldCharType="separate"/>
      </w:r>
      <w:r w:rsidR="00FF5062">
        <w:t xml:space="preserve">Figure </w:t>
      </w:r>
      <w:r w:rsidR="00FF5062">
        <w:rPr>
          <w:noProof/>
        </w:rPr>
        <w:t>2</w:t>
      </w:r>
      <w:r w:rsidR="00FF5062">
        <w:fldChar w:fldCharType="end"/>
      </w:r>
      <w:r w:rsidR="00FF5062">
        <w:t xml:space="preserve">. </w:t>
      </w:r>
    </w:p>
    <w:p w:rsidR="00FF5062" w:rsidRDefault="00FF5062" w:rsidP="00436199">
      <w:r>
        <w:t>Since 20</w:t>
      </w:r>
      <w:r w:rsidR="00436199">
        <w:t>07, t</w:t>
      </w:r>
      <w:r w:rsidR="00436199" w:rsidRPr="00897CB9">
        <w:t>urn-off, includi</w:t>
      </w:r>
      <w:r w:rsidR="00436199">
        <w:t>ng lamb and sheep slaughter,</w:t>
      </w:r>
      <w:r w:rsidR="00436199" w:rsidRPr="00897CB9">
        <w:t xml:space="preserve"> live export</w:t>
      </w:r>
      <w:r w:rsidR="00436199">
        <w:t xml:space="preserve"> and interstate movements</w:t>
      </w:r>
      <w:r w:rsidR="00436199" w:rsidRPr="00897CB9">
        <w:t xml:space="preserve">, has fallen from </w:t>
      </w:r>
      <w:r w:rsidR="00436199">
        <w:t>8.4 </w:t>
      </w:r>
      <w:r w:rsidR="00436199" w:rsidRPr="00897CB9">
        <w:t xml:space="preserve">million head to </w:t>
      </w:r>
      <w:r w:rsidR="00B17798">
        <w:t>4.4</w:t>
      </w:r>
      <w:r w:rsidR="00436199" w:rsidRPr="00897CB9">
        <w:t xml:space="preserve"> million head</w:t>
      </w:r>
      <w:r w:rsidR="00436199">
        <w:t xml:space="preserve"> </w:t>
      </w:r>
      <w:r>
        <w:t>in 20</w:t>
      </w:r>
      <w:r w:rsidR="00436199">
        <w:t>12 before rising to 5.9</w:t>
      </w:r>
      <w:r>
        <w:t xml:space="preserve"> million in 20</w:t>
      </w:r>
      <w:r w:rsidR="00436199">
        <w:t>14</w:t>
      </w:r>
      <w:r>
        <w:t xml:space="preserve"> and 5.5 million in 2015</w:t>
      </w:r>
      <w:r w:rsidR="00436199" w:rsidRPr="00897CB9">
        <w:t xml:space="preserve">. </w:t>
      </w:r>
    </w:p>
    <w:p w:rsidR="00436199" w:rsidRDefault="00BD1AA9" w:rsidP="00436199">
      <w:r>
        <w:t>T</w:t>
      </w:r>
      <w:r w:rsidR="00436199" w:rsidRPr="00897CB9">
        <w:t>he</w:t>
      </w:r>
      <w:r>
        <w:t>re has been a</w:t>
      </w:r>
      <w:r w:rsidR="00436199" w:rsidRPr="00897CB9">
        <w:t xml:space="preserve"> narrowing of the margin between total flock numbers and </w:t>
      </w:r>
      <w:r w:rsidR="00436199">
        <w:t>turn-off,</w:t>
      </w:r>
      <w:r w:rsidR="00436199" w:rsidRPr="00897CB9">
        <w:t xml:space="preserve"> indicative of an increased focus on meat production.</w:t>
      </w:r>
    </w:p>
    <w:p w:rsidR="00436199" w:rsidRPr="00436199" w:rsidRDefault="00436199" w:rsidP="00436199"/>
    <w:p w:rsidR="008D777D" w:rsidRDefault="00BF4E10" w:rsidP="008D777D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33958592" wp14:editId="1D575CA2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218B" w:rsidRPr="00CC1786" w:rsidRDefault="008D777D" w:rsidP="000E218B">
      <w:pPr>
        <w:pStyle w:val="Caption"/>
        <w:rPr>
          <w:color w:val="auto"/>
        </w:rPr>
      </w:pPr>
      <w:bookmarkStart w:id="2" w:name="_Ref441742800"/>
      <w:r w:rsidRPr="00CC1786">
        <w:rPr>
          <w:color w:val="auto"/>
        </w:rPr>
        <w:t xml:space="preserve">Figure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Figure \* ARABIC </w:instrText>
      </w:r>
      <w:r w:rsidR="00F24B54" w:rsidRPr="00CC1786">
        <w:rPr>
          <w:color w:val="auto"/>
        </w:rPr>
        <w:fldChar w:fldCharType="separate"/>
      </w:r>
      <w:r w:rsidR="00552AB8" w:rsidRPr="00CC1786">
        <w:rPr>
          <w:noProof/>
          <w:color w:val="auto"/>
        </w:rPr>
        <w:t>2</w:t>
      </w:r>
      <w:r w:rsidR="00F24B54" w:rsidRPr="00CC1786">
        <w:rPr>
          <w:noProof/>
          <w:color w:val="auto"/>
        </w:rPr>
        <w:fldChar w:fldCharType="end"/>
      </w:r>
      <w:bookmarkEnd w:id="2"/>
      <w:r w:rsidRPr="00CC1786">
        <w:rPr>
          <w:color w:val="auto"/>
        </w:rPr>
        <w:t xml:space="preserve"> Western Australian sheep population changes between 2005 and 2015</w:t>
      </w:r>
      <w:r w:rsidR="00FF5062" w:rsidRPr="00CC1786">
        <w:rPr>
          <w:color w:val="auto"/>
        </w:rPr>
        <w:t xml:space="preserve"> and total turn off</w:t>
      </w:r>
      <w:r w:rsidRPr="00CC1786">
        <w:rPr>
          <w:color w:val="auto"/>
        </w:rPr>
        <w:t xml:space="preserve"> (Source: Based on ABS data, DAFWA analysis)</w:t>
      </w:r>
    </w:p>
    <w:p w:rsidR="000E218B" w:rsidRPr="000E218B" w:rsidRDefault="000E218B" w:rsidP="000E218B">
      <w:r>
        <w:fldChar w:fldCharType="begin"/>
      </w:r>
      <w:r>
        <w:instrText xml:space="preserve"> REF _Ref441744303 \h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fldChar w:fldCharType="end"/>
      </w:r>
      <w:r>
        <w:t xml:space="preserve"> illustrates that using current turn off levels (July</w:t>
      </w:r>
      <w:r w:rsidR="008821DC">
        <w:t xml:space="preserve"> 2015</w:t>
      </w:r>
      <w:r>
        <w:t xml:space="preserve"> to </w:t>
      </w:r>
      <w:r w:rsidR="008821DC">
        <w:t>March 2016</w:t>
      </w:r>
      <w:r>
        <w:t xml:space="preserve">) to predict the total turn off for the financial year 2015-16, the state flock </w:t>
      </w:r>
      <w:r w:rsidR="00B17798">
        <w:t>would fall</w:t>
      </w:r>
      <w:r>
        <w:t xml:space="preserve"> </w:t>
      </w:r>
      <w:r w:rsidR="008821DC">
        <w:t>to 12.7</w:t>
      </w:r>
      <w:r w:rsidR="00583EA2">
        <w:t xml:space="preserve"> million head as of</w:t>
      </w:r>
      <w:r>
        <w:t xml:space="preserve"> the 30</w:t>
      </w:r>
      <w:r w:rsidRPr="000E218B">
        <w:rPr>
          <w:vertAlign w:val="superscript"/>
        </w:rPr>
        <w:t>th</w:t>
      </w:r>
      <w:r>
        <w:t xml:space="preserve"> June 2016.</w:t>
      </w:r>
    </w:p>
    <w:p w:rsidR="000E218B" w:rsidRDefault="008821DC" w:rsidP="000E218B">
      <w:pPr>
        <w:keepNext/>
      </w:pPr>
      <w:r w:rsidRPr="008821DC">
        <w:rPr>
          <w:noProof/>
          <w:lang w:val="en-US"/>
        </w:rPr>
        <w:drawing>
          <wp:inline distT="0" distB="0" distL="0" distR="0" wp14:anchorId="4DD92B8E" wp14:editId="6DADF786">
            <wp:extent cx="3828065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17" cy="28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07" w:rsidRPr="00CC1786" w:rsidRDefault="000E218B" w:rsidP="00EE5407">
      <w:pPr>
        <w:pStyle w:val="Caption"/>
        <w:rPr>
          <w:color w:val="auto"/>
        </w:rPr>
      </w:pPr>
      <w:bookmarkStart w:id="3" w:name="_Ref441744303"/>
      <w:r w:rsidRPr="00CC1786">
        <w:rPr>
          <w:color w:val="auto"/>
        </w:rPr>
        <w:t xml:space="preserve">Figure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Figure \* ARABIC </w:instrText>
      </w:r>
      <w:r w:rsidR="00F24B54" w:rsidRPr="00CC1786">
        <w:rPr>
          <w:color w:val="auto"/>
        </w:rPr>
        <w:fldChar w:fldCharType="separate"/>
      </w:r>
      <w:r w:rsidR="00552AB8" w:rsidRPr="00CC1786">
        <w:rPr>
          <w:noProof/>
          <w:color w:val="auto"/>
        </w:rPr>
        <w:t>3</w:t>
      </w:r>
      <w:r w:rsidR="00F24B54" w:rsidRPr="00CC1786">
        <w:rPr>
          <w:noProof/>
          <w:color w:val="auto"/>
        </w:rPr>
        <w:fldChar w:fldCharType="end"/>
      </w:r>
      <w:bookmarkEnd w:id="3"/>
      <w:r w:rsidRPr="00CC1786">
        <w:rPr>
          <w:color w:val="auto"/>
        </w:rPr>
        <w:t xml:space="preserve"> Projection of sheep population at the close of 2015-16</w:t>
      </w:r>
    </w:p>
    <w:p w:rsidR="00FE0254" w:rsidRPr="00CC1786" w:rsidRDefault="00FE0254" w:rsidP="00FE0254">
      <w:pPr>
        <w:pStyle w:val="Heading1"/>
        <w:rPr>
          <w:color w:val="007C5A"/>
        </w:rPr>
      </w:pPr>
      <w:r w:rsidRPr="00CC1786">
        <w:rPr>
          <w:color w:val="007C5A"/>
        </w:rPr>
        <w:t>Future scenarios</w:t>
      </w:r>
    </w:p>
    <w:p w:rsidR="00B5653D" w:rsidRDefault="007247FE" w:rsidP="000E218B">
      <w:r>
        <w:t>Three scenarios were modelled in order to predict what the state sheep flock may look like in</w:t>
      </w:r>
      <w:r w:rsidR="0082761E">
        <w:t xml:space="preserve"> 2017-18</w:t>
      </w:r>
      <w:r w:rsidR="00654CE5">
        <w:t xml:space="preserve"> if future seasons were similar to that experienced during 2014-15</w:t>
      </w:r>
      <w:r>
        <w:t xml:space="preserve">. </w:t>
      </w:r>
    </w:p>
    <w:p w:rsidR="00654CE5" w:rsidRPr="00CC1786" w:rsidRDefault="00654CE5" w:rsidP="00654CE5">
      <w:pPr>
        <w:pStyle w:val="Heading3"/>
        <w:rPr>
          <w:color w:val="007C5A"/>
        </w:rPr>
      </w:pPr>
      <w:r w:rsidRPr="00CC1786">
        <w:rPr>
          <w:color w:val="007C5A"/>
        </w:rPr>
        <w:lastRenderedPageBreak/>
        <w:t>Scenario 1</w:t>
      </w:r>
    </w:p>
    <w:p w:rsidR="000E218B" w:rsidRDefault="00654CE5" w:rsidP="000E218B">
      <w:r>
        <w:t>The first scenario</w:t>
      </w:r>
      <w:r w:rsidR="007247FE">
        <w:t xml:space="preserve"> holds the turn off in future years at the s</w:t>
      </w:r>
      <w:r w:rsidR="00F528FF">
        <w:t>ame level as experienced in 2014-15</w:t>
      </w:r>
      <w:r w:rsidR="007247FE">
        <w:t xml:space="preserve"> (5.5 million head). Other </w:t>
      </w:r>
      <w:r w:rsidR="005133C5">
        <w:t xml:space="preserve">variables </w:t>
      </w:r>
      <w:r w:rsidR="007247FE">
        <w:t>such as the percentage of ewes, marking rate and number of ewes mate</w:t>
      </w:r>
      <w:r w:rsidR="00583EA2">
        <w:t xml:space="preserve">d were calculated using average </w:t>
      </w:r>
      <w:r w:rsidR="005133C5">
        <w:t>rates in recent years</w:t>
      </w:r>
      <w:r w:rsidR="007247FE">
        <w:t>.</w:t>
      </w:r>
    </w:p>
    <w:p w:rsidR="00B5653D" w:rsidRDefault="00B5653D" w:rsidP="000E218B">
      <w:r>
        <w:t>This g</w:t>
      </w:r>
      <w:r w:rsidR="0096177C">
        <w:t>av</w:t>
      </w:r>
      <w:r w:rsidR="008821DC">
        <w:t>e a closing flock number of 11.31</w:t>
      </w:r>
      <w:r>
        <w:t xml:space="preserve"> million head as shown below in </w:t>
      </w:r>
      <w:r>
        <w:fldChar w:fldCharType="begin"/>
      </w:r>
      <w:r>
        <w:instrText xml:space="preserve"> REF _Ref441745330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  <w:r w:rsidR="00F528FF">
        <w:t xml:space="preserve">  </w:t>
      </w:r>
    </w:p>
    <w:p w:rsidR="00B5653D" w:rsidRPr="00CC1786" w:rsidRDefault="00B5653D" w:rsidP="00B5653D">
      <w:pPr>
        <w:pStyle w:val="Caption"/>
        <w:keepNext/>
        <w:rPr>
          <w:color w:val="auto"/>
        </w:rPr>
      </w:pPr>
      <w:bookmarkStart w:id="4" w:name="_Ref441745330"/>
      <w:r w:rsidRPr="00CC1786">
        <w:rPr>
          <w:color w:val="auto"/>
        </w:rPr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1</w:t>
      </w:r>
      <w:r w:rsidR="00F24B54" w:rsidRPr="00CC1786">
        <w:rPr>
          <w:noProof/>
          <w:color w:val="auto"/>
        </w:rPr>
        <w:fldChar w:fldCharType="end"/>
      </w:r>
      <w:bookmarkEnd w:id="4"/>
      <w:r w:rsidRPr="00CC1786">
        <w:rPr>
          <w:color w:val="auto"/>
        </w:rPr>
        <w:t xml:space="preserve"> Projection of flock numbers in 2017-18 under scenario one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8821DC" w:rsidRPr="008821DC" w:rsidTr="008821DC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8821DC" w:rsidRPr="008821DC" w:rsidTr="008821DC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8821DC" w:rsidRPr="008821DC" w:rsidTr="008821DC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821D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8821DC" w:rsidRPr="008821DC" w:rsidTr="008821DC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1DC" w:rsidRPr="008821DC" w:rsidRDefault="008821DC" w:rsidP="00882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88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7247FE" w:rsidRDefault="007247FE" w:rsidP="000E218B"/>
    <w:p w:rsidR="002A42AA" w:rsidRPr="007247FE" w:rsidRDefault="002A42AA" w:rsidP="002A42AA">
      <w:r>
        <w:t>The number of sheep in 2017-18 may actually be even lower as the turn off rate for 2015-16 is predicted</w:t>
      </w:r>
      <w:r w:rsidR="00D670E6">
        <w:t xml:space="preserve"> to be higher than that for 2014-15</w:t>
      </w:r>
      <w:r>
        <w:t xml:space="preserve">. This is being attributed to the dry conditions felt during spring in some prime sheep producing regions of WA. </w:t>
      </w:r>
    </w:p>
    <w:p w:rsidR="00F24B54" w:rsidRDefault="00F24B54" w:rsidP="000E218B">
      <w:r>
        <w:t xml:space="preserve">As illustrated in </w:t>
      </w:r>
      <w:r>
        <w:fldChar w:fldCharType="begin"/>
      </w:r>
      <w:r>
        <w:instrText xml:space="preserve"> REF _Ref441744303 \h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fldChar w:fldCharType="end"/>
      </w:r>
      <w:r>
        <w:t>, at the close of 2015-16 it is estimated that t</w:t>
      </w:r>
      <w:r w:rsidR="00EB0396">
        <w:t>he state flock will fall to 12.7</w:t>
      </w:r>
      <w:r>
        <w:t xml:space="preserve"> million head if current turn off is maintained. When taken into account the closing number of sheep</w:t>
      </w:r>
      <w:r w:rsidR="00EB0396">
        <w:t xml:space="preserve"> in 2017-18 is reduced to 10.48</w:t>
      </w:r>
      <w:r>
        <w:t xml:space="preserve"> million</w:t>
      </w:r>
      <w:r w:rsidR="002A42AA">
        <w:t xml:space="preserve"> (</w:t>
      </w:r>
      <w:r w:rsidR="002A42AA">
        <w:fldChar w:fldCharType="begin"/>
      </w:r>
      <w:r w:rsidR="002A42AA">
        <w:instrText xml:space="preserve"> REF _Ref442188903 \h </w:instrText>
      </w:r>
      <w:r w:rsidR="002A42AA">
        <w:fldChar w:fldCharType="separate"/>
      </w:r>
      <w:r w:rsidR="002A42AA">
        <w:t xml:space="preserve">Table </w:t>
      </w:r>
      <w:r w:rsidR="002A42AA">
        <w:rPr>
          <w:noProof/>
        </w:rPr>
        <w:t>2</w:t>
      </w:r>
      <w:r w:rsidR="002A42AA">
        <w:fldChar w:fldCharType="end"/>
      </w:r>
      <w:r w:rsidR="002A42AA">
        <w:t>)</w:t>
      </w:r>
      <w:r w:rsidR="00EB0396">
        <w:t>, provided the turn off rate returns to that of 2014-15 from 2016-17 onwards</w:t>
      </w:r>
      <w:r>
        <w:t>.</w:t>
      </w:r>
    </w:p>
    <w:p w:rsidR="00F24B54" w:rsidRDefault="00F24B54" w:rsidP="00F24B54">
      <w:pPr>
        <w:pStyle w:val="Caption"/>
        <w:keepNext/>
        <w:rPr>
          <w:color w:val="auto"/>
        </w:rPr>
      </w:pPr>
      <w:bookmarkStart w:id="5" w:name="_Ref442188903"/>
      <w:r w:rsidRPr="00CC1786">
        <w:rPr>
          <w:color w:val="auto"/>
        </w:rPr>
        <w:t xml:space="preserve">Table </w:t>
      </w:r>
      <w:r w:rsidRPr="00CC1786">
        <w:rPr>
          <w:color w:val="auto"/>
        </w:rPr>
        <w:fldChar w:fldCharType="begin"/>
      </w:r>
      <w:r w:rsidRPr="00CC1786">
        <w:rPr>
          <w:color w:val="auto"/>
        </w:rPr>
        <w:instrText xml:space="preserve"> SEQ Table \* ARABIC </w:instrText>
      </w:r>
      <w:r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2</w:t>
      </w:r>
      <w:r w:rsidRPr="00CC1786">
        <w:rPr>
          <w:color w:val="auto"/>
        </w:rPr>
        <w:fldChar w:fldCharType="end"/>
      </w:r>
      <w:bookmarkEnd w:id="5"/>
      <w:r w:rsidRPr="00CC1786">
        <w:rPr>
          <w:color w:val="auto"/>
        </w:rPr>
        <w:t xml:space="preserve"> Projection of flock numbers in 2017-18 under scenario one taking into account the 2015-16 forecast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EB0396" w:rsidRPr="00EB0396" w:rsidTr="00EB0396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EB0396" w:rsidRPr="00EB0396" w:rsidRDefault="00EB0396" w:rsidP="00EB0396"/>
    <w:p w:rsidR="00654CE5" w:rsidRPr="00CC1786" w:rsidRDefault="00654CE5" w:rsidP="00654CE5">
      <w:pPr>
        <w:pStyle w:val="Heading3"/>
        <w:rPr>
          <w:color w:val="007C5A"/>
        </w:rPr>
      </w:pPr>
      <w:r w:rsidRPr="00CC1786">
        <w:rPr>
          <w:color w:val="007C5A"/>
        </w:rPr>
        <w:t>Scenario 2</w:t>
      </w:r>
    </w:p>
    <w:p w:rsidR="00B5653D" w:rsidRDefault="00B5653D" w:rsidP="000E218B">
      <w:r>
        <w:t xml:space="preserve">The second scenario maintains the </w:t>
      </w:r>
      <w:r w:rsidR="005133C5">
        <w:t xml:space="preserve">ratio of </w:t>
      </w:r>
      <w:r>
        <w:t xml:space="preserve">turn off to </w:t>
      </w:r>
      <w:r w:rsidR="00583EA2">
        <w:t xml:space="preserve">the </w:t>
      </w:r>
      <w:r>
        <w:t>opening number of total sheep</w:t>
      </w:r>
      <w:r w:rsidR="005133C5">
        <w:t xml:space="preserve"> constant at the 2014-15 level.</w:t>
      </w:r>
      <w:r>
        <w:t xml:space="preserve"> This is more likely due to the fact that the overall number of sheep will affect the number available to be turned off. </w:t>
      </w:r>
      <w:r w:rsidR="005133C5">
        <w:t>As in scenario one, average values were used for t</w:t>
      </w:r>
      <w:r>
        <w:t xml:space="preserve">he other variables. </w:t>
      </w:r>
    </w:p>
    <w:p w:rsidR="00B5653D" w:rsidRDefault="005133C5" w:rsidP="000E218B">
      <w:r>
        <w:t>T</w:t>
      </w:r>
      <w:r w:rsidR="00B5653D">
        <w:t xml:space="preserve">his projection </w:t>
      </w:r>
      <w:r w:rsidR="00EB0396">
        <w:t>gives an opening number of 13.0</w:t>
      </w:r>
      <w:r w:rsidR="00B5653D">
        <w:t xml:space="preserve"> million head </w:t>
      </w:r>
      <w:r>
        <w:t xml:space="preserve">for 2017-18, </w:t>
      </w:r>
      <w:r w:rsidR="00EB0396">
        <w:t>and a closing number of 12.68</w:t>
      </w:r>
      <w:r w:rsidR="00B5653D">
        <w:t xml:space="preserve"> million head</w:t>
      </w:r>
      <w:r w:rsidR="008515BE">
        <w:t xml:space="preserve"> (Table 3</w:t>
      </w:r>
      <w:r>
        <w:t>)</w:t>
      </w:r>
      <w:r w:rsidR="00B5653D">
        <w:t>.</w:t>
      </w:r>
      <w:r>
        <w:t xml:space="preserve"> </w:t>
      </w:r>
      <w:r w:rsidR="007344D4">
        <w:t>It would also result in a total turn off of less than 5 million head, a level only recorded once in the last 15 years. Work reported by Curtis and Hardy at an earlier SILC meeting indicated that processors and exporters require a minimum of 5.6 million head per year, just to keep the businesses turning over.</w:t>
      </w:r>
    </w:p>
    <w:p w:rsidR="00B5653D" w:rsidRPr="00CC1786" w:rsidRDefault="00B5653D" w:rsidP="00B5653D">
      <w:pPr>
        <w:pStyle w:val="Caption"/>
        <w:keepNext/>
        <w:rPr>
          <w:color w:val="auto"/>
        </w:rPr>
      </w:pPr>
      <w:r w:rsidRPr="00CC1786">
        <w:rPr>
          <w:color w:val="auto"/>
        </w:rPr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3</w:t>
      </w:r>
      <w:r w:rsidR="00F24B54" w:rsidRPr="00CC1786">
        <w:rPr>
          <w:noProof/>
          <w:color w:val="auto"/>
        </w:rPr>
        <w:fldChar w:fldCharType="end"/>
      </w:r>
      <w:r w:rsidRPr="00CC1786">
        <w:rPr>
          <w:color w:val="auto"/>
        </w:rPr>
        <w:t xml:space="preserve"> Projection of flock numbers in 2017-18 under scenario two</w:t>
      </w:r>
      <w:r w:rsidR="005133C5" w:rsidRPr="00CC1786">
        <w:rPr>
          <w:color w:val="auto"/>
        </w:rPr>
        <w:t xml:space="preserve"> (turn off remains a constant proportion of</w:t>
      </w:r>
      <w:r w:rsidR="005F5C5A" w:rsidRPr="00CC1786">
        <w:rPr>
          <w:color w:val="auto"/>
        </w:rPr>
        <w:t xml:space="preserve"> </w:t>
      </w:r>
      <w:r w:rsidR="005133C5" w:rsidRPr="00CC1786">
        <w:rPr>
          <w:color w:val="auto"/>
        </w:rPr>
        <w:t>opening number)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EB0396" w:rsidRPr="00EB0396" w:rsidTr="00EB0396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D670E6" w:rsidRDefault="00D670E6" w:rsidP="007344D4"/>
    <w:p w:rsidR="008515BE" w:rsidRDefault="008515BE" w:rsidP="007344D4">
      <w:r>
        <w:t>When the 2015-16 forecast is taken into account in scenario two 2017-18 (</w:t>
      </w:r>
      <w:r w:rsidR="00607CA3">
        <w:fldChar w:fldCharType="begin"/>
      </w:r>
      <w:r w:rsidR="00607CA3">
        <w:instrText xml:space="preserve"> REF _Ref442184700 \h </w:instrText>
      </w:r>
      <w:r w:rsidR="00607CA3">
        <w:fldChar w:fldCharType="separate"/>
      </w:r>
      <w:r w:rsidR="00607CA3">
        <w:t xml:space="preserve">Table </w:t>
      </w:r>
      <w:r w:rsidR="00607CA3">
        <w:rPr>
          <w:noProof/>
        </w:rPr>
        <w:t>4</w:t>
      </w:r>
      <w:r w:rsidR="00607CA3">
        <w:fldChar w:fldCharType="end"/>
      </w:r>
      <w:r w:rsidR="00607CA3">
        <w:t>)</w:t>
      </w:r>
      <w:r>
        <w:t xml:space="preserve"> numbers </w:t>
      </w:r>
      <w:proofErr w:type="gramStart"/>
      <w:r>
        <w:t>are</w:t>
      </w:r>
      <w:proofErr w:type="gramEnd"/>
      <w:r>
        <w:t xml:space="preserve"> further reduced. The opening</w:t>
      </w:r>
      <w:r w:rsidR="00EB0396">
        <w:t xml:space="preserve"> number was estimated to be 12.4</w:t>
      </w:r>
      <w:r>
        <w:t>2 million head</w:t>
      </w:r>
      <w:r w:rsidR="00EB0396">
        <w:t xml:space="preserve"> and the closing number was 12.11</w:t>
      </w:r>
      <w:r>
        <w:t xml:space="preserve"> million head.</w:t>
      </w:r>
      <w:r w:rsidR="00EB0396">
        <w:t xml:space="preserve"> The ratio of turn off to opening number was returned to that of 2014-15 for the years 2016-17 onwards.</w:t>
      </w:r>
    </w:p>
    <w:p w:rsidR="00D670E6" w:rsidRDefault="00D670E6" w:rsidP="007344D4"/>
    <w:p w:rsidR="00D670E6" w:rsidRDefault="00D670E6" w:rsidP="007344D4"/>
    <w:p w:rsidR="00D670E6" w:rsidRDefault="00D670E6" w:rsidP="007344D4"/>
    <w:p w:rsidR="00D670E6" w:rsidRDefault="00D670E6" w:rsidP="007344D4"/>
    <w:p w:rsidR="00D670E6" w:rsidRDefault="00D670E6" w:rsidP="007344D4"/>
    <w:p w:rsidR="00EB0396" w:rsidRDefault="00EB0396" w:rsidP="007344D4"/>
    <w:p w:rsidR="008515BE" w:rsidRDefault="008515BE" w:rsidP="008515BE">
      <w:pPr>
        <w:pStyle w:val="Caption"/>
        <w:keepNext/>
        <w:rPr>
          <w:color w:val="auto"/>
        </w:rPr>
      </w:pPr>
      <w:bookmarkStart w:id="6" w:name="_Ref442184700"/>
      <w:r w:rsidRPr="00CC1786">
        <w:rPr>
          <w:color w:val="auto"/>
        </w:rPr>
        <w:lastRenderedPageBreak/>
        <w:t xml:space="preserve">Table </w:t>
      </w:r>
      <w:r w:rsidRPr="00CC1786">
        <w:rPr>
          <w:color w:val="auto"/>
        </w:rPr>
        <w:fldChar w:fldCharType="begin"/>
      </w:r>
      <w:r w:rsidRPr="00CC1786">
        <w:rPr>
          <w:color w:val="auto"/>
        </w:rPr>
        <w:instrText xml:space="preserve"> SEQ Table \* ARABIC </w:instrText>
      </w:r>
      <w:r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4</w:t>
      </w:r>
      <w:r w:rsidRPr="00CC1786">
        <w:rPr>
          <w:color w:val="auto"/>
        </w:rPr>
        <w:fldChar w:fldCharType="end"/>
      </w:r>
      <w:bookmarkEnd w:id="6"/>
      <w:r w:rsidRPr="00CC1786">
        <w:rPr>
          <w:color w:val="auto"/>
        </w:rPr>
        <w:t xml:space="preserve"> Projection of flock numbers in 2017-18 under scenario two taking into account the 2015-16 forecast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EB0396" w:rsidRPr="00EB0396" w:rsidTr="00EB0396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EB0396" w:rsidRPr="00EB0396" w:rsidTr="00EB0396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039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EB0396" w:rsidRPr="00EB0396" w:rsidTr="00EB039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396" w:rsidRPr="00EB0396" w:rsidRDefault="00EB0396" w:rsidP="00EB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EB03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EB0396" w:rsidRPr="00EB0396" w:rsidRDefault="00EB0396" w:rsidP="00EB0396"/>
    <w:p w:rsidR="008515BE" w:rsidRPr="00CC1786" w:rsidRDefault="00654CE5" w:rsidP="00654CE5">
      <w:pPr>
        <w:pStyle w:val="Heading3"/>
        <w:rPr>
          <w:color w:val="007C5A"/>
        </w:rPr>
      </w:pPr>
      <w:r w:rsidRPr="00CC1786">
        <w:rPr>
          <w:color w:val="007C5A"/>
        </w:rPr>
        <w:t>Scenario 3</w:t>
      </w:r>
    </w:p>
    <w:p w:rsidR="007344D4" w:rsidRDefault="007344D4" w:rsidP="007344D4">
      <w:r>
        <w:t>Scenario three is similar to scenario two except that the turn off to opening number ratio for lam</w:t>
      </w:r>
      <w:r w:rsidR="00531031">
        <w:t>b slaughter, sheep slaughter,</w:t>
      </w:r>
      <w:r>
        <w:t xml:space="preserve"> live export</w:t>
      </w:r>
      <w:r w:rsidR="00531031">
        <w:t xml:space="preserve"> and interstate transfers</w:t>
      </w:r>
      <w:r>
        <w:t xml:space="preserve"> was calculated as the average of those ratios across the last five years</w:t>
      </w:r>
      <w:r w:rsidR="00531031">
        <w:t xml:space="preserve"> (2010-11 to 2014-15)</w:t>
      </w:r>
      <w:r>
        <w:t>. As in the other scenarios, average values were used for the other variables (marking rates, death rates, proportion of breeding ewes in the flock).</w:t>
      </w:r>
    </w:p>
    <w:p w:rsidR="003A356F" w:rsidRDefault="003A356F" w:rsidP="000E218B">
      <w:r>
        <w:t xml:space="preserve">As seen below in </w:t>
      </w:r>
      <w:r>
        <w:fldChar w:fldCharType="begin"/>
      </w:r>
      <w:r>
        <w:instrText xml:space="preserve"> REF _Ref441746454 \h </w:instrText>
      </w:r>
      <w:r>
        <w:fldChar w:fldCharType="separate"/>
      </w:r>
      <w:r w:rsidR="00BB360B">
        <w:t xml:space="preserve">Table </w:t>
      </w:r>
      <w:r w:rsidR="00BB360B">
        <w:rPr>
          <w:noProof/>
        </w:rPr>
        <w:t>5</w:t>
      </w:r>
      <w:r>
        <w:fldChar w:fldCharType="end"/>
      </w:r>
      <w:r>
        <w:t xml:space="preserve"> the third scenario</w:t>
      </w:r>
      <w:r w:rsidR="00531031">
        <w:t xml:space="preserve"> gave an opening number of 13.15</w:t>
      </w:r>
      <w:r>
        <w:t xml:space="preserve"> million sheep in 2017-</w:t>
      </w:r>
      <w:r w:rsidR="00531031">
        <w:t>18 and a closing number of 12.89</w:t>
      </w:r>
      <w:r>
        <w:t xml:space="preserve"> million sheep.</w:t>
      </w:r>
      <w:r w:rsidR="007344D4">
        <w:t xml:space="preserve"> Again annual tu</w:t>
      </w:r>
      <w:r w:rsidR="00BB360B">
        <w:t>rn off would be below 5 million.</w:t>
      </w:r>
    </w:p>
    <w:p w:rsidR="003A356F" w:rsidRPr="00CC1786" w:rsidRDefault="003A356F" w:rsidP="003A356F">
      <w:pPr>
        <w:pStyle w:val="Caption"/>
        <w:keepNext/>
        <w:rPr>
          <w:color w:val="auto"/>
        </w:rPr>
      </w:pPr>
      <w:bookmarkStart w:id="7" w:name="_Ref441746454"/>
      <w:r w:rsidRPr="00CC1786">
        <w:rPr>
          <w:color w:val="auto"/>
        </w:rPr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5</w:t>
      </w:r>
      <w:r w:rsidR="00F24B54" w:rsidRPr="00CC1786">
        <w:rPr>
          <w:noProof/>
          <w:color w:val="auto"/>
        </w:rPr>
        <w:fldChar w:fldCharType="end"/>
      </w:r>
      <w:bookmarkEnd w:id="7"/>
      <w:r w:rsidRPr="00CC1786">
        <w:rPr>
          <w:color w:val="auto"/>
        </w:rPr>
        <w:t xml:space="preserve"> Projection of flock numbers in 2017-18 under scenario three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531031" w:rsidRPr="00531031" w:rsidTr="0053103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B5653D" w:rsidRDefault="00B5653D" w:rsidP="000E218B"/>
    <w:p w:rsidR="00D1561E" w:rsidRDefault="00D1561E" w:rsidP="00D1561E">
      <w:r>
        <w:t>When the 2015-16 flock projection is taken into account the opening num</w:t>
      </w:r>
      <w:r w:rsidR="00531031">
        <w:t>ber of sheep in 2017-18 is 12.48</w:t>
      </w:r>
      <w:r>
        <w:t xml:space="preserve"> million head and the closing</w:t>
      </w:r>
      <w:r w:rsidR="00531031">
        <w:t xml:space="preserve"> number is 12.24</w:t>
      </w:r>
      <w:r>
        <w:t xml:space="preserve"> million head.</w:t>
      </w:r>
      <w:r w:rsidR="00531031">
        <w:t xml:space="preserve"> The average turn off to opening number ratio </w:t>
      </w:r>
      <w:proofErr w:type="gramStart"/>
      <w:r w:rsidR="00531031">
        <w:t>five year</w:t>
      </w:r>
      <w:proofErr w:type="gramEnd"/>
      <w:r w:rsidR="00531031">
        <w:t xml:space="preserve"> average was used for 2016-17 onwards.</w:t>
      </w:r>
    </w:p>
    <w:p w:rsidR="00D1561E" w:rsidRPr="00CC1786" w:rsidRDefault="00D1561E" w:rsidP="00D1561E">
      <w:pPr>
        <w:pStyle w:val="Caption"/>
        <w:keepNext/>
        <w:rPr>
          <w:color w:val="auto"/>
        </w:rPr>
      </w:pPr>
      <w:r w:rsidRPr="00CC1786">
        <w:rPr>
          <w:color w:val="auto"/>
        </w:rPr>
        <w:lastRenderedPageBreak/>
        <w:t xml:space="preserve">Table </w:t>
      </w:r>
      <w:r w:rsidRPr="00CC1786">
        <w:rPr>
          <w:color w:val="auto"/>
        </w:rPr>
        <w:fldChar w:fldCharType="begin"/>
      </w:r>
      <w:r w:rsidRPr="00CC1786">
        <w:rPr>
          <w:color w:val="auto"/>
        </w:rPr>
        <w:instrText xml:space="preserve"> SEQ Table \* ARABIC </w:instrText>
      </w:r>
      <w:r w:rsidRPr="00CC1786">
        <w:rPr>
          <w:color w:val="auto"/>
        </w:rPr>
        <w:fldChar w:fldCharType="separate"/>
      </w:r>
      <w:r w:rsidRPr="00CC1786">
        <w:rPr>
          <w:noProof/>
          <w:color w:val="auto"/>
        </w:rPr>
        <w:t>6</w:t>
      </w:r>
      <w:r w:rsidRPr="00CC1786">
        <w:rPr>
          <w:color w:val="auto"/>
        </w:rPr>
        <w:fldChar w:fldCharType="end"/>
      </w:r>
      <w:r w:rsidRPr="00CC1786">
        <w:rPr>
          <w:color w:val="auto"/>
        </w:rPr>
        <w:t xml:space="preserve"> Projection of flock numbers in 2017-18 under scenario three taking into account the 2015-16 flock projection</w:t>
      </w:r>
    </w:p>
    <w:tbl>
      <w:tblPr>
        <w:tblW w:w="4801" w:type="dxa"/>
        <w:tblInd w:w="93" w:type="dxa"/>
        <w:tblLook w:val="04A0" w:firstRow="1" w:lastRow="0" w:firstColumn="1" w:lastColumn="0" w:noHBand="0" w:noVBand="1"/>
      </w:tblPr>
      <w:tblGrid>
        <w:gridCol w:w="1122"/>
        <w:gridCol w:w="1626"/>
        <w:gridCol w:w="261"/>
        <w:gridCol w:w="960"/>
        <w:gridCol w:w="960"/>
      </w:tblGrid>
      <w:tr w:rsidR="00531031" w:rsidRPr="00531031" w:rsidTr="0053103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Opening number of sheep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Number of ewes joined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Marking rate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Lambs marked (est.)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Turn off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Lambs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Sheep slaughtered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Live export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Interstate movements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Total turn off (</w:t>
            </w:r>
            <w:proofErr w:type="spellStart"/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est</w:t>
            </w:r>
            <w:proofErr w:type="spellEnd"/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Losses on farm (7%)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million</w:t>
            </w:r>
          </w:p>
        </w:tc>
      </w:tr>
      <w:tr w:rsidR="00531031" w:rsidRPr="00531031" w:rsidTr="0053103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53103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</w:tr>
      <w:tr w:rsidR="00531031" w:rsidRPr="00531031" w:rsidTr="0053103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Closing number of sheep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531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million</w:t>
            </w:r>
          </w:p>
        </w:tc>
      </w:tr>
    </w:tbl>
    <w:p w:rsidR="002A42AA" w:rsidRDefault="002A42AA" w:rsidP="000E218B"/>
    <w:p w:rsidR="00A3286B" w:rsidRDefault="00A3286B" w:rsidP="000E218B">
      <w:r>
        <w:t xml:space="preserve">Put simply, turn off (plus deaths) has been higher than lambs marked. As a consequence, unless marking rate increases and/or turn off (and deaths) decreases, then flock size will continue to decline. </w:t>
      </w:r>
    </w:p>
    <w:p w:rsidR="00A3286B" w:rsidRDefault="00A3286B" w:rsidP="000E218B">
      <w:r>
        <w:t xml:space="preserve">Some of this decline has been from willing sellers, keen to change enterprises and happy to destock while prices are good. Eventually, </w:t>
      </w:r>
      <w:r w:rsidR="000D0BF8">
        <w:t xml:space="preserve">those </w:t>
      </w:r>
      <w:r>
        <w:t>producers wishing to continue running sheep will resist the demand</w:t>
      </w:r>
      <w:r w:rsidR="000D0BF8">
        <w:t>,</w:t>
      </w:r>
      <w:r>
        <w:t xml:space="preserve"> </w:t>
      </w:r>
      <w:r w:rsidR="000D0BF8">
        <w:t>making</w:t>
      </w:r>
      <w:r>
        <w:t xml:space="preserve"> </w:t>
      </w:r>
      <w:r w:rsidR="000D0BF8">
        <w:t xml:space="preserve">it increasingly difficult for processors and </w:t>
      </w:r>
      <w:r>
        <w:t xml:space="preserve">live sheep exporters </w:t>
      </w:r>
      <w:r w:rsidR="000D0BF8">
        <w:t>to fill their orders.</w:t>
      </w:r>
    </w:p>
    <w:p w:rsidR="00FE0254" w:rsidRPr="00CC1786" w:rsidRDefault="00FE0254" w:rsidP="00FE0254">
      <w:pPr>
        <w:pStyle w:val="Heading1"/>
        <w:rPr>
          <w:color w:val="007C5A"/>
        </w:rPr>
      </w:pPr>
      <w:r w:rsidRPr="00CC1786">
        <w:rPr>
          <w:color w:val="007C5A"/>
        </w:rPr>
        <w:t>Flock demographics</w:t>
      </w:r>
    </w:p>
    <w:p w:rsidR="00FE0254" w:rsidRPr="00CC1786" w:rsidRDefault="00FE0254" w:rsidP="00FE0254">
      <w:pPr>
        <w:pStyle w:val="Heading2"/>
        <w:rPr>
          <w:color w:val="007C5A"/>
        </w:rPr>
      </w:pPr>
      <w:r w:rsidRPr="00CC1786">
        <w:rPr>
          <w:color w:val="007C5A"/>
        </w:rPr>
        <w:t>Flock structure</w:t>
      </w:r>
    </w:p>
    <w:p w:rsidR="00167BE9" w:rsidRDefault="00413DDF" w:rsidP="006B4BD2">
      <w:r>
        <w:t xml:space="preserve">Over the last 25 years the Western Australian sheep flock has undergone quite a significant change in flock structure as seen in </w:t>
      </w:r>
      <w:r>
        <w:fldChar w:fldCharType="begin"/>
      </w:r>
      <w:r>
        <w:instrText xml:space="preserve"> REF _Ref441753450 \h </w:instrText>
      </w:r>
      <w:r>
        <w:fldChar w:fldCharType="separate"/>
      </w:r>
      <w:r>
        <w:t xml:space="preserve">Figure </w:t>
      </w:r>
      <w:r>
        <w:rPr>
          <w:noProof/>
        </w:rPr>
        <w:t>4</w:t>
      </w:r>
      <w:r>
        <w:fldChar w:fldCharType="end"/>
      </w:r>
      <w:r>
        <w:t xml:space="preserve">. In 1990 breeding ewes accounted for 45% of the flock. In 2014 this has risen to 61%. </w:t>
      </w:r>
      <w:r w:rsidR="000D0BF8">
        <w:t>This is driven by the increasing importance of sheep meat to the sheep industry.</w:t>
      </w:r>
      <w:r>
        <w:t xml:space="preserve"> In 1990 the industry was very much a </w:t>
      </w:r>
      <w:proofErr w:type="gramStart"/>
      <w:r>
        <w:t>wool focused</w:t>
      </w:r>
      <w:proofErr w:type="gramEnd"/>
      <w:r>
        <w:t xml:space="preserve"> industry but today is much more of a dual </w:t>
      </w:r>
      <w:r w:rsidR="000D0BF8">
        <w:t xml:space="preserve">product </w:t>
      </w:r>
      <w:r>
        <w:t>industry. A similar trend is evident in the proportion of lambs in the flock. It has risen from 21% to 29% of the flock.</w:t>
      </w:r>
    </w:p>
    <w:p w:rsidR="00413DDF" w:rsidRDefault="00413DDF" w:rsidP="006B4BD2">
      <w:r>
        <w:t>The wether component of the flock has decreased quite dramatically over the same time period. During 1990 wethers made up approximately 32% of the state flock but in 2014 have fallen to approximately 9% of the flock.</w:t>
      </w:r>
    </w:p>
    <w:p w:rsidR="00413DDF" w:rsidRDefault="00AA041D" w:rsidP="006B4BD2">
      <w:r>
        <w:t>When only looking at the most recent 10 years the trend in flock demographics has continue</w:t>
      </w:r>
      <w:r w:rsidR="000D0BF8">
        <w:t>d</w:t>
      </w:r>
      <w:r>
        <w:t xml:space="preserve">, however not so dramatically. The proportion of ewes has increased from 59% to 61% and the proportion of lambs has risen from 25% to 29%. The proportion of wethers has </w:t>
      </w:r>
      <w:r w:rsidR="000D0BF8">
        <w:t xml:space="preserve">continued </w:t>
      </w:r>
      <w:r>
        <w:t xml:space="preserve">to fall decreasing from 14% to 9%. Over the last 5 years however the flock composition appears to have remained relatively steady. </w:t>
      </w:r>
    </w:p>
    <w:p w:rsidR="00552AB8" w:rsidRDefault="00692EF8" w:rsidP="00552AB8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186E1F2D" wp14:editId="53AEBB6B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3DA9" w:rsidRPr="00CC1786" w:rsidRDefault="00552AB8" w:rsidP="00930002">
      <w:pPr>
        <w:pStyle w:val="Caption"/>
        <w:rPr>
          <w:color w:val="auto"/>
        </w:rPr>
      </w:pPr>
      <w:bookmarkStart w:id="8" w:name="_Ref441753450"/>
      <w:r w:rsidRPr="00CC1786">
        <w:rPr>
          <w:color w:val="auto"/>
        </w:rPr>
        <w:t xml:space="preserve">Figure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Figure \* ARABIC </w:instrText>
      </w:r>
      <w:r w:rsidR="00F24B54" w:rsidRPr="00CC1786">
        <w:rPr>
          <w:color w:val="auto"/>
        </w:rPr>
        <w:fldChar w:fldCharType="separate"/>
      </w:r>
      <w:r w:rsidRPr="00CC1786">
        <w:rPr>
          <w:noProof/>
          <w:color w:val="auto"/>
        </w:rPr>
        <w:t>4</w:t>
      </w:r>
      <w:r w:rsidR="00F24B54" w:rsidRPr="00CC1786">
        <w:rPr>
          <w:noProof/>
          <w:color w:val="auto"/>
        </w:rPr>
        <w:fldChar w:fldCharType="end"/>
      </w:r>
      <w:bookmarkEnd w:id="8"/>
      <w:r w:rsidRPr="00CC1786">
        <w:rPr>
          <w:color w:val="auto"/>
        </w:rPr>
        <w:t xml:space="preserve"> Western Australian flock structure between 1990 and 2014 (Source: Based on ABARES </w:t>
      </w:r>
      <w:proofErr w:type="spellStart"/>
      <w:r w:rsidRPr="00CC1786">
        <w:rPr>
          <w:color w:val="auto"/>
        </w:rPr>
        <w:t>agsurf</w:t>
      </w:r>
      <w:proofErr w:type="spellEnd"/>
      <w:r w:rsidRPr="00CC1786">
        <w:rPr>
          <w:color w:val="auto"/>
        </w:rPr>
        <w:t xml:space="preserve"> data, DAFWA analysis)</w:t>
      </w:r>
    </w:p>
    <w:p w:rsidR="006B4BD2" w:rsidRPr="00CC1786" w:rsidRDefault="006B4BD2" w:rsidP="00930002">
      <w:pPr>
        <w:pStyle w:val="Heading2"/>
        <w:rPr>
          <w:color w:val="007C5A"/>
        </w:rPr>
      </w:pPr>
      <w:r w:rsidRPr="00CC1786">
        <w:rPr>
          <w:color w:val="007C5A"/>
        </w:rPr>
        <w:t>Merino vs meat</w:t>
      </w:r>
    </w:p>
    <w:p w:rsidR="00C32EB8" w:rsidRPr="0089135B" w:rsidRDefault="00F63DB1" w:rsidP="00C32EB8">
      <w:pPr>
        <w:pStyle w:val="CommentText"/>
        <w:rPr>
          <w:sz w:val="22"/>
          <w:szCs w:val="22"/>
        </w:rPr>
      </w:pPr>
      <w:r w:rsidRPr="0089135B">
        <w:rPr>
          <w:sz w:val="22"/>
          <w:szCs w:val="22"/>
        </w:rPr>
        <w:t>Over the last five years, Merino ewes have increased from 86% to 92% of the breeding ewe flock in WA</w:t>
      </w:r>
      <w:r w:rsidR="002A42AA">
        <w:rPr>
          <w:sz w:val="22"/>
          <w:szCs w:val="22"/>
        </w:rPr>
        <w:t xml:space="preserve"> (Table 8</w:t>
      </w:r>
      <w:r w:rsidR="00C32EB8">
        <w:rPr>
          <w:sz w:val="22"/>
          <w:szCs w:val="22"/>
        </w:rPr>
        <w:t>)</w:t>
      </w:r>
      <w:r w:rsidRPr="0089135B">
        <w:rPr>
          <w:sz w:val="22"/>
          <w:szCs w:val="22"/>
        </w:rPr>
        <w:t xml:space="preserve">. </w:t>
      </w:r>
    </w:p>
    <w:p w:rsidR="00C32EB8" w:rsidRPr="00C32EB8" w:rsidRDefault="00C32EB8" w:rsidP="0089135B">
      <w:pPr>
        <w:pStyle w:val="CommentText"/>
      </w:pPr>
      <w:r w:rsidRPr="00C32EB8">
        <w:rPr>
          <w:sz w:val="22"/>
          <w:szCs w:val="22"/>
        </w:rPr>
        <w:t>In Jun-</w:t>
      </w:r>
      <w:r>
        <w:rPr>
          <w:sz w:val="22"/>
          <w:szCs w:val="22"/>
        </w:rPr>
        <w:t>20</w:t>
      </w:r>
      <w:r w:rsidRPr="00C32EB8">
        <w:rPr>
          <w:sz w:val="22"/>
          <w:szCs w:val="22"/>
        </w:rPr>
        <w:t>11, 86% of t</w:t>
      </w:r>
      <w:r w:rsidR="004F1580">
        <w:rPr>
          <w:sz w:val="22"/>
          <w:szCs w:val="22"/>
        </w:rPr>
        <w:t>he breeding ewes were Merino of which</w:t>
      </w:r>
      <w:r w:rsidRPr="00C32EB8">
        <w:rPr>
          <w:sz w:val="22"/>
          <w:szCs w:val="22"/>
        </w:rPr>
        <w:t xml:space="preserve"> 73% were mated to Merino rams leaving 27% producing first cross lambs.</w:t>
      </w:r>
      <w:r>
        <w:rPr>
          <w:sz w:val="22"/>
          <w:szCs w:val="22"/>
        </w:rPr>
        <w:t xml:space="preserve"> </w:t>
      </w:r>
      <w:r w:rsidRPr="00C32EB8">
        <w:rPr>
          <w:sz w:val="22"/>
          <w:szCs w:val="22"/>
        </w:rPr>
        <w:t>In Jun-</w:t>
      </w:r>
      <w:r w:rsidRPr="004F1580">
        <w:rPr>
          <w:sz w:val="22"/>
          <w:szCs w:val="22"/>
        </w:rPr>
        <w:t>20</w:t>
      </w:r>
      <w:r w:rsidRPr="00C32EB8">
        <w:rPr>
          <w:sz w:val="22"/>
          <w:szCs w:val="22"/>
        </w:rPr>
        <w:t xml:space="preserve">15, 92% of the breeding ewes were Merino, but only 70% </w:t>
      </w:r>
      <w:r w:rsidR="004F1580">
        <w:rPr>
          <w:sz w:val="22"/>
          <w:szCs w:val="22"/>
        </w:rPr>
        <w:t xml:space="preserve">of merino ewes </w:t>
      </w:r>
      <w:r w:rsidRPr="00C32EB8">
        <w:rPr>
          <w:sz w:val="22"/>
          <w:szCs w:val="22"/>
        </w:rPr>
        <w:t>were mated to Merino rams leaving 30% producing first cross lambs.</w:t>
      </w:r>
    </w:p>
    <w:p w:rsidR="005E38CA" w:rsidRPr="00CC1786" w:rsidRDefault="005E38CA" w:rsidP="005E38CA">
      <w:pPr>
        <w:pStyle w:val="Caption"/>
        <w:keepNext/>
        <w:rPr>
          <w:color w:val="auto"/>
        </w:rPr>
      </w:pPr>
      <w:r w:rsidRPr="00CC1786">
        <w:rPr>
          <w:color w:val="auto"/>
        </w:rPr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7</w:t>
      </w:r>
      <w:r w:rsidR="00F24B54" w:rsidRPr="00CC1786">
        <w:rPr>
          <w:noProof/>
          <w:color w:val="auto"/>
        </w:rPr>
        <w:fldChar w:fldCharType="end"/>
      </w:r>
      <w:r w:rsidRPr="00CC1786">
        <w:rPr>
          <w:color w:val="auto"/>
        </w:rPr>
        <w:t xml:space="preserve"> Percent of breeding ewes on hand in WA by the type of lamb they are mated to produce</w:t>
      </w:r>
      <w:r w:rsidR="00F63DB1" w:rsidRPr="00CC1786">
        <w:rPr>
          <w:color w:val="auto"/>
        </w:rPr>
        <w:t>. Mo – Merino; 1X – first cross; and 2X – second cross and meat breed lambs.</w:t>
      </w:r>
      <w:r w:rsidRPr="00CC1786">
        <w:rPr>
          <w:color w:val="auto"/>
        </w:rPr>
        <w:t xml:space="preserve"> (Source: MLA sheep meat and wool survey, DAFWA analysis)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2X</w:t>
            </w:r>
          </w:p>
        </w:tc>
      </w:tr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14%</w:t>
            </w:r>
          </w:p>
        </w:tc>
      </w:tr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11%</w:t>
            </w:r>
          </w:p>
        </w:tc>
      </w:tr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14%</w:t>
            </w:r>
          </w:p>
        </w:tc>
      </w:tr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8%</w:t>
            </w:r>
          </w:p>
        </w:tc>
      </w:tr>
      <w:tr w:rsidR="00930002" w:rsidRPr="00930002" w:rsidTr="009300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8%</w:t>
            </w:r>
          </w:p>
        </w:tc>
      </w:tr>
    </w:tbl>
    <w:p w:rsidR="001F5723" w:rsidRPr="006B4BD2" w:rsidRDefault="001F5723" w:rsidP="006B4BD2"/>
    <w:p w:rsidR="00930002" w:rsidRPr="00CC1786" w:rsidRDefault="00930002" w:rsidP="00930002">
      <w:pPr>
        <w:pStyle w:val="Caption"/>
        <w:keepNext/>
        <w:rPr>
          <w:color w:val="auto"/>
        </w:rPr>
      </w:pPr>
      <w:r w:rsidRPr="00CC1786">
        <w:rPr>
          <w:color w:val="auto"/>
        </w:rPr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8</w:t>
      </w:r>
      <w:r w:rsidR="00F24B54" w:rsidRPr="00CC1786">
        <w:rPr>
          <w:noProof/>
          <w:color w:val="auto"/>
        </w:rPr>
        <w:fldChar w:fldCharType="end"/>
      </w:r>
      <w:r w:rsidRPr="00CC1786">
        <w:rPr>
          <w:color w:val="auto"/>
        </w:rPr>
        <w:t xml:space="preserve"> Breeding ewes on hand</w:t>
      </w:r>
      <w:r w:rsidR="00F63DB1" w:rsidRPr="00CC1786">
        <w:rPr>
          <w:color w:val="auto"/>
        </w:rPr>
        <w:t xml:space="preserve"> by breed type</w:t>
      </w:r>
      <w:r w:rsidRPr="00CC1786">
        <w:rPr>
          <w:color w:val="auto"/>
        </w:rPr>
        <w:t xml:space="preserve"> (Source MLA sheep meat and wool survey, DAFWA analysis)</w:t>
      </w:r>
    </w:p>
    <w:tbl>
      <w:tblPr>
        <w:tblW w:w="5923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043"/>
        <w:gridCol w:w="976"/>
      </w:tblGrid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Merino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First cross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Dual purpose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Shedding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other</w:t>
            </w:r>
          </w:p>
        </w:tc>
      </w:tr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86%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4%</w:t>
            </w:r>
          </w:p>
        </w:tc>
      </w:tr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89%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</w:tr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86%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4%</w:t>
            </w:r>
          </w:p>
        </w:tc>
      </w:tr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92%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</w:tr>
      <w:tr w:rsidR="00930002" w:rsidRPr="00930002" w:rsidTr="0093000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Jun-15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92%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1%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02" w:rsidRPr="00930002" w:rsidRDefault="00930002" w:rsidP="009300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00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</w:tr>
    </w:tbl>
    <w:p w:rsidR="006B4BD2" w:rsidRDefault="006B4BD2" w:rsidP="006B4BD2"/>
    <w:p w:rsidR="00BF0E52" w:rsidRDefault="00C32EB8" w:rsidP="006B4BD2">
      <w:r>
        <w:t>O</w:t>
      </w:r>
      <w:r w:rsidR="00995F52">
        <w:t xml:space="preserve">ver the last five years, the </w:t>
      </w:r>
      <w:r w:rsidR="00BF0E52">
        <w:t xml:space="preserve">number of merino lambs on hand </w:t>
      </w:r>
      <w:r>
        <w:t xml:space="preserve">at 30-June </w:t>
      </w:r>
      <w:r w:rsidR="00995F52">
        <w:t xml:space="preserve">as a proportion of all lambs </w:t>
      </w:r>
      <w:proofErr w:type="gramStart"/>
      <w:r w:rsidR="00BF0E52">
        <w:t>has</w:t>
      </w:r>
      <w:proofErr w:type="gramEnd"/>
      <w:r w:rsidR="00BF0E52">
        <w:t xml:space="preserve"> remained relatively steady </w:t>
      </w:r>
      <w:r>
        <w:t>(</w:t>
      </w:r>
      <w:r w:rsidR="00BF0E52">
        <w:fldChar w:fldCharType="begin"/>
      </w:r>
      <w:r w:rsidR="00BF0E52">
        <w:instrText xml:space="preserve"> REF _Ref441757760 \h </w:instrText>
      </w:r>
      <w:r w:rsidR="00BF0E52">
        <w:fldChar w:fldCharType="separate"/>
      </w:r>
      <w:r w:rsidR="002A42AA">
        <w:t xml:space="preserve">Table </w:t>
      </w:r>
      <w:r w:rsidR="002A42AA">
        <w:rPr>
          <w:noProof/>
        </w:rPr>
        <w:t>9</w:t>
      </w:r>
      <w:r w:rsidR="00BF0E52">
        <w:fldChar w:fldCharType="end"/>
      </w:r>
      <w:r>
        <w:t>)</w:t>
      </w:r>
      <w:r w:rsidR="00BF0E52">
        <w:t>.</w:t>
      </w:r>
    </w:p>
    <w:p w:rsidR="00BF0E52" w:rsidRPr="00CC1786" w:rsidRDefault="00BF0E52" w:rsidP="00BF0E52">
      <w:pPr>
        <w:pStyle w:val="Caption"/>
        <w:keepNext/>
        <w:rPr>
          <w:color w:val="auto"/>
        </w:rPr>
      </w:pPr>
      <w:bookmarkStart w:id="9" w:name="_Ref441757760"/>
      <w:r w:rsidRPr="00CC1786">
        <w:rPr>
          <w:color w:val="auto"/>
        </w:rPr>
        <w:lastRenderedPageBreak/>
        <w:t xml:space="preserve">Table </w:t>
      </w:r>
      <w:r w:rsidR="00F24B54" w:rsidRPr="00CC1786">
        <w:rPr>
          <w:color w:val="auto"/>
        </w:rPr>
        <w:fldChar w:fldCharType="begin"/>
      </w:r>
      <w:r w:rsidR="00F24B54" w:rsidRPr="00CC1786">
        <w:rPr>
          <w:color w:val="auto"/>
        </w:rPr>
        <w:instrText xml:space="preserve"> SEQ Table \* ARABIC </w:instrText>
      </w:r>
      <w:r w:rsidR="00F24B54" w:rsidRPr="00CC1786">
        <w:rPr>
          <w:color w:val="auto"/>
        </w:rPr>
        <w:fldChar w:fldCharType="separate"/>
      </w:r>
      <w:r w:rsidR="00D1561E" w:rsidRPr="00CC1786">
        <w:rPr>
          <w:noProof/>
          <w:color w:val="auto"/>
        </w:rPr>
        <w:t>9</w:t>
      </w:r>
      <w:r w:rsidR="00F24B54" w:rsidRPr="00CC1786">
        <w:rPr>
          <w:noProof/>
          <w:color w:val="auto"/>
        </w:rPr>
        <w:fldChar w:fldCharType="end"/>
      </w:r>
      <w:bookmarkEnd w:id="9"/>
      <w:r w:rsidRPr="00CC1786">
        <w:rPr>
          <w:color w:val="auto"/>
        </w:rPr>
        <w:t xml:space="preserve"> Lambs on hand (Source: MLA sheep meat and wool survey, DAFWA analysis)</w:t>
      </w:r>
    </w:p>
    <w:tbl>
      <w:tblPr>
        <w:tblW w:w="6237" w:type="dxa"/>
        <w:tblInd w:w="108" w:type="dxa"/>
        <w:tblLook w:val="04A0" w:firstRow="1" w:lastRow="0" w:firstColumn="1" w:lastColumn="0" w:noHBand="0" w:noVBand="1"/>
      </w:tblPr>
      <w:tblGrid>
        <w:gridCol w:w="968"/>
        <w:gridCol w:w="976"/>
        <w:gridCol w:w="976"/>
        <w:gridCol w:w="976"/>
        <w:gridCol w:w="1043"/>
        <w:gridCol w:w="1298"/>
      </w:tblGrid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Merino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First cross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Dual purpose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Shedding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other (pure meat, 2nd X, etc.)</w:t>
            </w:r>
          </w:p>
        </w:tc>
      </w:tr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Jun-11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15%</w:t>
            </w:r>
          </w:p>
        </w:tc>
      </w:tr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Jun-12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20%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18%</w:t>
            </w:r>
          </w:p>
        </w:tc>
      </w:tr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Jun-13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2%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20%</w:t>
            </w:r>
          </w:p>
        </w:tc>
      </w:tr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Jun-14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4%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17%</w:t>
            </w:r>
          </w:p>
        </w:tc>
      </w:tr>
      <w:tr w:rsidR="00BF0E52" w:rsidRPr="00BF0E52" w:rsidTr="00BF0E52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Jun-15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57%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4%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3%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52" w:rsidRPr="00BF0E52" w:rsidRDefault="00BF0E52" w:rsidP="00BF0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0E52">
              <w:rPr>
                <w:rFonts w:ascii="Calibri" w:eastAsia="Times New Roman" w:hAnsi="Calibri" w:cs="Times New Roman"/>
                <w:color w:val="000000"/>
                <w:lang w:eastAsia="en-AU"/>
              </w:rPr>
              <w:t>17%</w:t>
            </w:r>
          </w:p>
        </w:tc>
      </w:tr>
    </w:tbl>
    <w:p w:rsidR="00BF0E52" w:rsidRPr="006B4BD2" w:rsidRDefault="00BF0E52" w:rsidP="006B4BD2"/>
    <w:sectPr w:rsidR="00BF0E52" w:rsidRPr="006B4BD2" w:rsidSect="0083699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DBBF6" w15:done="0"/>
  <w15:commentEx w15:paraId="42E072A8" w15:done="0"/>
  <w15:commentEx w15:paraId="379B69E7" w15:done="0"/>
  <w15:commentEx w15:paraId="603A98B6" w15:done="0"/>
  <w15:commentEx w15:paraId="43015722" w15:done="0"/>
  <w15:commentEx w15:paraId="2578851A" w15:done="0"/>
  <w15:commentEx w15:paraId="72D06D7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59" w:rsidRDefault="00880459" w:rsidP="00836992">
      <w:pPr>
        <w:spacing w:after="0" w:line="240" w:lineRule="auto"/>
      </w:pPr>
      <w:r>
        <w:separator/>
      </w:r>
    </w:p>
  </w:endnote>
  <w:endnote w:type="continuationSeparator" w:id="0">
    <w:p w:rsidR="00880459" w:rsidRDefault="00880459" w:rsidP="008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268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10" w:rsidRDefault="00BF4E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10" w:rsidRPr="00836992" w:rsidRDefault="00BF4E10" w:rsidP="00836992">
    <w:pPr>
      <w:pStyle w:val="Footer"/>
    </w:pPr>
    <w:r>
      <w:t>Prepared by Kate Pritchett (January 2016)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10" w:rsidRPr="00836992" w:rsidRDefault="00BF4E10" w:rsidP="00836992">
    <w:pPr>
      <w:tabs>
        <w:tab w:val="center" w:pos="4513"/>
        <w:tab w:val="right" w:pos="9026"/>
      </w:tabs>
      <w:spacing w:after="0" w:line="240" w:lineRule="auto"/>
      <w:jc w:val="center"/>
    </w:pPr>
    <w:r w:rsidRPr="00836992">
      <w:t xml:space="preserve">This work is supported by </w:t>
    </w:r>
    <w:r w:rsidRPr="00836992">
      <w:rPr>
        <w:b/>
      </w:rPr>
      <w:t>Royalties for Regions</w:t>
    </w:r>
    <w:r w:rsidRPr="00836992">
      <w:t xml:space="preserve"> funds through the </w:t>
    </w:r>
    <w:r w:rsidRPr="00836992">
      <w:rPr>
        <w:b/>
      </w:rPr>
      <w:t>Sheep Industry Business Innovation</w:t>
    </w:r>
    <w:r w:rsidRPr="00836992">
      <w:t xml:space="preserve"> project.</w:t>
    </w:r>
  </w:p>
  <w:p w:rsidR="00BF4E10" w:rsidRDefault="00BF4E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59" w:rsidRDefault="00880459" w:rsidP="00836992">
      <w:pPr>
        <w:spacing w:after="0" w:line="240" w:lineRule="auto"/>
      </w:pPr>
      <w:r>
        <w:separator/>
      </w:r>
    </w:p>
  </w:footnote>
  <w:footnote w:type="continuationSeparator" w:id="0">
    <w:p w:rsidR="00880459" w:rsidRDefault="00880459" w:rsidP="0083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10" w:rsidRDefault="00BF4E10" w:rsidP="00836992">
    <w:pPr>
      <w:pStyle w:val="Header"/>
      <w:jc w:val="right"/>
    </w:pPr>
    <w:r>
      <w:t>The Western Australian sheep flock- future scenarios</w:t>
    </w:r>
  </w:p>
  <w:p w:rsidR="00BF4E10" w:rsidRDefault="00BF4E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10" w:rsidRDefault="00BF4E10" w:rsidP="00E6695E">
    <w:pPr>
      <w:pStyle w:val="Header"/>
    </w:pPr>
    <w:r>
      <w:rPr>
        <w:noProof/>
        <w:lang w:val="en-US"/>
      </w:rPr>
      <w:drawing>
        <wp:inline distT="0" distB="0" distL="0" distR="0" wp14:anchorId="54FCDDB0" wp14:editId="0F961257">
          <wp:extent cx="1326330" cy="703637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8" cy="705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6F914D9E" wp14:editId="345B943F">
          <wp:extent cx="2621279" cy="699890"/>
          <wp:effectExtent l="0" t="0" r="8255" b="5080"/>
          <wp:docPr id="7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9" cy="69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4D6E"/>
    <w:multiLevelType w:val="hybridMultilevel"/>
    <w:tmpl w:val="3A7CFAF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8426E"/>
    <w:multiLevelType w:val="hybridMultilevel"/>
    <w:tmpl w:val="357AD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bal curtis">
    <w15:presenceInfo w15:providerId="Windows Live" w15:userId="5f8c11694203ec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D2"/>
    <w:rsid w:val="00014528"/>
    <w:rsid w:val="00061056"/>
    <w:rsid w:val="000D0BF8"/>
    <w:rsid w:val="000E218B"/>
    <w:rsid w:val="00102887"/>
    <w:rsid w:val="00167BE9"/>
    <w:rsid w:val="00173F60"/>
    <w:rsid w:val="001B26B3"/>
    <w:rsid w:val="001F5723"/>
    <w:rsid w:val="00222C2E"/>
    <w:rsid w:val="002A42AA"/>
    <w:rsid w:val="003A356F"/>
    <w:rsid w:val="00407520"/>
    <w:rsid w:val="00413DDF"/>
    <w:rsid w:val="00436199"/>
    <w:rsid w:val="004C1595"/>
    <w:rsid w:val="004F1580"/>
    <w:rsid w:val="005133C5"/>
    <w:rsid w:val="00531031"/>
    <w:rsid w:val="00532773"/>
    <w:rsid w:val="00552AB8"/>
    <w:rsid w:val="0055466B"/>
    <w:rsid w:val="00583EA2"/>
    <w:rsid w:val="005E38CA"/>
    <w:rsid w:val="005F5C5A"/>
    <w:rsid w:val="005F60FE"/>
    <w:rsid w:val="00607CA3"/>
    <w:rsid w:val="00654CE5"/>
    <w:rsid w:val="00692EF8"/>
    <w:rsid w:val="006B4BD2"/>
    <w:rsid w:val="007247FE"/>
    <w:rsid w:val="007344D4"/>
    <w:rsid w:val="0082761E"/>
    <w:rsid w:val="00836992"/>
    <w:rsid w:val="008515BE"/>
    <w:rsid w:val="00880459"/>
    <w:rsid w:val="008821DC"/>
    <w:rsid w:val="0089135B"/>
    <w:rsid w:val="008D777D"/>
    <w:rsid w:val="00930002"/>
    <w:rsid w:val="00943DA9"/>
    <w:rsid w:val="009466A7"/>
    <w:rsid w:val="0096177C"/>
    <w:rsid w:val="00995F52"/>
    <w:rsid w:val="009B27F0"/>
    <w:rsid w:val="00A3286B"/>
    <w:rsid w:val="00A60172"/>
    <w:rsid w:val="00A61ADD"/>
    <w:rsid w:val="00AA041D"/>
    <w:rsid w:val="00B17798"/>
    <w:rsid w:val="00B24A3B"/>
    <w:rsid w:val="00B5653D"/>
    <w:rsid w:val="00BB1499"/>
    <w:rsid w:val="00BB360B"/>
    <w:rsid w:val="00BD1AA9"/>
    <w:rsid w:val="00BF0E52"/>
    <w:rsid w:val="00BF4E10"/>
    <w:rsid w:val="00C32EB8"/>
    <w:rsid w:val="00C57A16"/>
    <w:rsid w:val="00C82D1A"/>
    <w:rsid w:val="00CC1786"/>
    <w:rsid w:val="00D1561E"/>
    <w:rsid w:val="00D670E6"/>
    <w:rsid w:val="00E10605"/>
    <w:rsid w:val="00E157AD"/>
    <w:rsid w:val="00E6695E"/>
    <w:rsid w:val="00EB0396"/>
    <w:rsid w:val="00EE5407"/>
    <w:rsid w:val="00F24B54"/>
    <w:rsid w:val="00F528FF"/>
    <w:rsid w:val="00F63DB1"/>
    <w:rsid w:val="00FE0254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F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D77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7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E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3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1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4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3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92"/>
  </w:style>
  <w:style w:type="paragraph" w:styleId="Footer">
    <w:name w:val="footer"/>
    <w:basedOn w:val="Normal"/>
    <w:link w:val="FooterChar"/>
    <w:uiPriority w:val="99"/>
    <w:unhideWhenUsed/>
    <w:rsid w:val="0083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92"/>
  </w:style>
  <w:style w:type="paragraph" w:styleId="Title">
    <w:name w:val="Title"/>
    <w:basedOn w:val="Normal"/>
    <w:next w:val="Normal"/>
    <w:link w:val="TitleChar"/>
    <w:uiPriority w:val="10"/>
    <w:qFormat/>
    <w:rsid w:val="008369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F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D77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7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E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3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1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4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3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92"/>
  </w:style>
  <w:style w:type="paragraph" w:styleId="Footer">
    <w:name w:val="footer"/>
    <w:basedOn w:val="Normal"/>
    <w:link w:val="FooterChar"/>
    <w:uiPriority w:val="99"/>
    <w:unhideWhenUsed/>
    <w:rsid w:val="0083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92"/>
  </w:style>
  <w:style w:type="paragraph" w:styleId="Title">
    <w:name w:val="Title"/>
    <w:basedOn w:val="Normal"/>
    <w:next w:val="Normal"/>
    <w:link w:val="TitleChar"/>
    <w:uiPriority w:val="10"/>
    <w:qFormat/>
    <w:rsid w:val="008369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people" Target="people.xml"/><Relationship Id="rId21" Type="http://schemas.microsoft.com/office/2011/relationships/commentsExtended" Target="commentsExtended.xml"/><Relationship Id="rId10" Type="http://schemas.openxmlformats.org/officeDocument/2006/relationships/chart" Target="charts/chart2.xml"/><Relationship Id="rId11" Type="http://schemas.openxmlformats.org/officeDocument/2006/relationships/image" Target="media/image1.emf"/><Relationship Id="rId12" Type="http://schemas.openxmlformats.org/officeDocument/2006/relationships/chart" Target="charts/chart3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WA sheep population</c:v>
                </c:pt>
              </c:strCache>
            </c:strRef>
          </c:tx>
          <c:marker>
            <c:symbol val="none"/>
          </c:marker>
          <c:cat>
            <c:strRef>
              <c:f>Sheet1!$A$2:$A$107</c:f>
              <c:strCache>
                <c:ptCount val="106"/>
                <c:pt idx="0">
                  <c:v>1910</c:v>
                </c:pt>
                <c:pt idx="1">
                  <c:v>1911</c:v>
                </c:pt>
                <c:pt idx="2">
                  <c:v>1912</c:v>
                </c:pt>
                <c:pt idx="3">
                  <c:v>1913</c:v>
                </c:pt>
                <c:pt idx="4">
                  <c:v>1914</c:v>
                </c:pt>
                <c:pt idx="5">
                  <c:v>1915</c:v>
                </c:pt>
                <c:pt idx="6">
                  <c:v>1916</c:v>
                </c:pt>
                <c:pt idx="7">
                  <c:v>1917</c:v>
                </c:pt>
                <c:pt idx="8">
                  <c:v>1918</c:v>
                </c:pt>
                <c:pt idx="9">
                  <c:v>1919</c:v>
                </c:pt>
                <c:pt idx="10">
                  <c:v>1920</c:v>
                </c:pt>
                <c:pt idx="11">
                  <c:v>1921</c:v>
                </c:pt>
                <c:pt idx="12">
                  <c:v>1922</c:v>
                </c:pt>
                <c:pt idx="13">
                  <c:v>1923</c:v>
                </c:pt>
                <c:pt idx="14">
                  <c:v>1924</c:v>
                </c:pt>
                <c:pt idx="15">
                  <c:v>1925</c:v>
                </c:pt>
                <c:pt idx="16">
                  <c:v>1926</c:v>
                </c:pt>
                <c:pt idx="17">
                  <c:v>1927</c:v>
                </c:pt>
                <c:pt idx="18">
                  <c:v>1928</c:v>
                </c:pt>
                <c:pt idx="19">
                  <c:v>1929</c:v>
                </c:pt>
                <c:pt idx="20">
                  <c:v>1930</c:v>
                </c:pt>
                <c:pt idx="21">
                  <c:v>1931</c:v>
                </c:pt>
                <c:pt idx="22">
                  <c:v>1932</c:v>
                </c:pt>
                <c:pt idx="23">
                  <c:v>1933</c:v>
                </c:pt>
                <c:pt idx="24">
                  <c:v>1934</c:v>
                </c:pt>
                <c:pt idx="25">
                  <c:v>1935</c:v>
                </c:pt>
                <c:pt idx="26">
                  <c:v>1936</c:v>
                </c:pt>
                <c:pt idx="27">
                  <c:v>1937</c:v>
                </c:pt>
                <c:pt idx="28">
                  <c:v>1938</c:v>
                </c:pt>
                <c:pt idx="29">
                  <c:v>1939</c:v>
                </c:pt>
                <c:pt idx="30">
                  <c:v>1940</c:v>
                </c:pt>
                <c:pt idx="31">
                  <c:v>1941</c:v>
                </c:pt>
                <c:pt idx="32">
                  <c:v>1942</c:v>
                </c:pt>
                <c:pt idx="33">
                  <c:v>1943</c:v>
                </c:pt>
                <c:pt idx="34">
                  <c:v>1944</c:v>
                </c:pt>
                <c:pt idx="35">
                  <c:v>1945</c:v>
                </c:pt>
                <c:pt idx="36">
                  <c:v>1946</c:v>
                </c:pt>
                <c:pt idx="37">
                  <c:v>1947</c:v>
                </c:pt>
                <c:pt idx="38">
                  <c:v>1948</c:v>
                </c:pt>
                <c:pt idx="39">
                  <c:v>1949</c:v>
                </c:pt>
                <c:pt idx="40">
                  <c:v>1950</c:v>
                </c:pt>
                <c:pt idx="41">
                  <c:v>1951</c:v>
                </c:pt>
                <c:pt idx="42">
                  <c:v>1952</c:v>
                </c:pt>
                <c:pt idx="43">
                  <c:v>1953</c:v>
                </c:pt>
                <c:pt idx="44">
                  <c:v>1954</c:v>
                </c:pt>
                <c:pt idx="45">
                  <c:v>1955</c:v>
                </c:pt>
                <c:pt idx="46">
                  <c:v>1956</c:v>
                </c:pt>
                <c:pt idx="47">
                  <c:v>1957</c:v>
                </c:pt>
                <c:pt idx="48">
                  <c:v>1958</c:v>
                </c:pt>
                <c:pt idx="49">
                  <c:v>1959</c:v>
                </c:pt>
                <c:pt idx="50">
                  <c:v>1960</c:v>
                </c:pt>
                <c:pt idx="51">
                  <c:v>1961</c:v>
                </c:pt>
                <c:pt idx="52">
                  <c:v>1962</c:v>
                </c:pt>
                <c:pt idx="53">
                  <c:v>1963</c:v>
                </c:pt>
                <c:pt idx="54">
                  <c:v>1964</c:v>
                </c:pt>
                <c:pt idx="55">
                  <c:v>1965</c:v>
                </c:pt>
                <c:pt idx="56">
                  <c:v>1966</c:v>
                </c:pt>
                <c:pt idx="57">
                  <c:v>1967</c:v>
                </c:pt>
                <c:pt idx="58">
                  <c:v>1968</c:v>
                </c:pt>
                <c:pt idx="59">
                  <c:v>1969</c:v>
                </c:pt>
                <c:pt idx="60">
                  <c:v>1970</c:v>
                </c:pt>
                <c:pt idx="61">
                  <c:v>1971</c:v>
                </c:pt>
                <c:pt idx="62">
                  <c:v>1972</c:v>
                </c:pt>
                <c:pt idx="63">
                  <c:v>1973</c:v>
                </c:pt>
                <c:pt idx="64">
                  <c:v>1974</c:v>
                </c:pt>
                <c:pt idx="65">
                  <c:v>1975</c:v>
                </c:pt>
                <c:pt idx="66">
                  <c:v>1976</c:v>
                </c:pt>
                <c:pt idx="67">
                  <c:v>1977</c:v>
                </c:pt>
                <c:pt idx="68">
                  <c:v>1978</c:v>
                </c:pt>
                <c:pt idx="69">
                  <c:v>1979</c:v>
                </c:pt>
                <c:pt idx="70">
                  <c:v>1980</c:v>
                </c:pt>
                <c:pt idx="71">
                  <c:v>1981</c:v>
                </c:pt>
                <c:pt idx="72">
                  <c:v>1982</c:v>
                </c:pt>
                <c:pt idx="73">
                  <c:v>1983</c:v>
                </c:pt>
                <c:pt idx="74">
                  <c:v>1984</c:v>
                </c:pt>
                <c:pt idx="75">
                  <c:v>1985</c:v>
                </c:pt>
                <c:pt idx="76">
                  <c:v>1986</c:v>
                </c:pt>
                <c:pt idx="77">
                  <c:v>1987</c:v>
                </c:pt>
                <c:pt idx="78">
                  <c:v>1988</c:v>
                </c:pt>
                <c:pt idx="79">
                  <c:v>1989</c:v>
                </c:pt>
                <c:pt idx="80">
                  <c:v>1990</c:v>
                </c:pt>
                <c:pt idx="81">
                  <c:v>1991</c:v>
                </c:pt>
                <c:pt idx="82">
                  <c:v>1992</c:v>
                </c:pt>
                <c:pt idx="83">
                  <c:v>1993</c:v>
                </c:pt>
                <c:pt idx="84">
                  <c:v>1994</c:v>
                </c:pt>
                <c:pt idx="85">
                  <c:v>1995</c:v>
                </c:pt>
                <c:pt idx="86">
                  <c:v>1996</c:v>
                </c:pt>
                <c:pt idx="87">
                  <c:v>1997</c:v>
                </c:pt>
                <c:pt idx="88">
                  <c:v>1998</c:v>
                </c:pt>
                <c:pt idx="89">
                  <c:v>1999</c:v>
                </c:pt>
                <c:pt idx="90">
                  <c:v>2000</c:v>
                </c:pt>
                <c:pt idx="91">
                  <c:v>2001</c:v>
                </c:pt>
                <c:pt idx="92">
                  <c:v>2002</c:v>
                </c:pt>
                <c:pt idx="93">
                  <c:v>2003</c:v>
                </c:pt>
                <c:pt idx="94">
                  <c:v>2004</c:v>
                </c:pt>
                <c:pt idx="95">
                  <c:v>2005</c:v>
                </c:pt>
                <c:pt idx="96">
                  <c:v>2006</c:v>
                </c:pt>
                <c:pt idx="97">
                  <c:v>2007</c:v>
                </c:pt>
                <c:pt idx="98">
                  <c:v>2008</c:v>
                </c:pt>
                <c:pt idx="99">
                  <c:v>2009</c:v>
                </c:pt>
                <c:pt idx="100">
                  <c:v>2010</c:v>
                </c:pt>
                <c:pt idx="101">
                  <c:v>2011</c:v>
                </c:pt>
                <c:pt idx="102">
                  <c:v>2012</c:v>
                </c:pt>
                <c:pt idx="103">
                  <c:v>2013</c:v>
                </c:pt>
                <c:pt idx="104">
                  <c:v>2014</c:v>
                </c:pt>
                <c:pt idx="105">
                  <c:v>2015</c:v>
                </c:pt>
              </c:strCache>
            </c:strRef>
          </c:cat>
          <c:val>
            <c:numRef>
              <c:f>Sheet1!$B$2:$B$107</c:f>
              <c:numCache>
                <c:formatCode>General</c:formatCode>
                <c:ptCount val="106"/>
                <c:pt idx="0">
                  <c:v>4.7</c:v>
                </c:pt>
                <c:pt idx="1">
                  <c:v>5.2</c:v>
                </c:pt>
                <c:pt idx="2">
                  <c:v>5.4</c:v>
                </c:pt>
                <c:pt idx="3">
                  <c:v>4.6</c:v>
                </c:pt>
                <c:pt idx="4">
                  <c:v>4.4</c:v>
                </c:pt>
                <c:pt idx="5">
                  <c:v>4.5</c:v>
                </c:pt>
                <c:pt idx="6">
                  <c:v>4.8</c:v>
                </c:pt>
                <c:pt idx="7">
                  <c:v>5.5</c:v>
                </c:pt>
                <c:pt idx="8">
                  <c:v>6.4</c:v>
                </c:pt>
                <c:pt idx="9">
                  <c:v>7.2</c:v>
                </c:pt>
                <c:pt idx="10">
                  <c:v>6.7</c:v>
                </c:pt>
                <c:pt idx="11">
                  <c:v>6.5</c:v>
                </c:pt>
                <c:pt idx="12">
                  <c:v>6.5</c:v>
                </c:pt>
                <c:pt idx="13">
                  <c:v>6.7</c:v>
                </c:pt>
                <c:pt idx="14">
                  <c:v>6.6</c:v>
                </c:pt>
                <c:pt idx="15">
                  <c:v>6.4</c:v>
                </c:pt>
                <c:pt idx="16">
                  <c:v>6.9</c:v>
                </c:pt>
                <c:pt idx="17">
                  <c:v>7.5</c:v>
                </c:pt>
                <c:pt idx="18">
                  <c:v>8.4</c:v>
                </c:pt>
                <c:pt idx="19">
                  <c:v>8.9</c:v>
                </c:pt>
                <c:pt idx="20">
                  <c:v>9.6</c:v>
                </c:pt>
                <c:pt idx="21">
                  <c:v>9.9</c:v>
                </c:pt>
                <c:pt idx="22">
                  <c:v>10.1</c:v>
                </c:pt>
                <c:pt idx="23">
                  <c:v>10.4</c:v>
                </c:pt>
                <c:pt idx="24">
                  <c:v>10.3</c:v>
                </c:pt>
                <c:pt idx="25">
                  <c:v>11.2</c:v>
                </c:pt>
                <c:pt idx="26">
                  <c:v>11.1</c:v>
                </c:pt>
                <c:pt idx="27">
                  <c:v>9.0</c:v>
                </c:pt>
                <c:pt idx="28">
                  <c:v>8.700000000000001</c:v>
                </c:pt>
                <c:pt idx="29">
                  <c:v>9.200000000000001</c:v>
                </c:pt>
                <c:pt idx="30">
                  <c:v>9.6</c:v>
                </c:pt>
                <c:pt idx="31">
                  <c:v>9.5</c:v>
                </c:pt>
                <c:pt idx="32">
                  <c:v>9.8</c:v>
                </c:pt>
                <c:pt idx="33">
                  <c:v>10.4</c:v>
                </c:pt>
                <c:pt idx="34">
                  <c:v>11.0</c:v>
                </c:pt>
                <c:pt idx="35">
                  <c:v>10.0</c:v>
                </c:pt>
                <c:pt idx="36">
                  <c:v>9.8</c:v>
                </c:pt>
                <c:pt idx="37">
                  <c:v>9.8</c:v>
                </c:pt>
                <c:pt idx="38">
                  <c:v>10.4</c:v>
                </c:pt>
                <c:pt idx="39">
                  <c:v>10.9</c:v>
                </c:pt>
                <c:pt idx="40">
                  <c:v>10.9</c:v>
                </c:pt>
                <c:pt idx="41">
                  <c:v>11.4</c:v>
                </c:pt>
                <c:pt idx="42">
                  <c:v>12.2</c:v>
                </c:pt>
                <c:pt idx="43">
                  <c:v>12.5</c:v>
                </c:pt>
                <c:pt idx="44">
                  <c:v>13.1</c:v>
                </c:pt>
                <c:pt idx="45">
                  <c:v>13.4</c:v>
                </c:pt>
                <c:pt idx="46">
                  <c:v>14.1</c:v>
                </c:pt>
                <c:pt idx="47">
                  <c:v>14.9</c:v>
                </c:pt>
                <c:pt idx="48">
                  <c:v>15.7</c:v>
                </c:pt>
                <c:pt idx="49">
                  <c:v>16.2</c:v>
                </c:pt>
                <c:pt idx="50">
                  <c:v>16.4</c:v>
                </c:pt>
                <c:pt idx="51">
                  <c:v>17.2</c:v>
                </c:pt>
                <c:pt idx="52">
                  <c:v>18.3</c:v>
                </c:pt>
                <c:pt idx="53">
                  <c:v>18.7</c:v>
                </c:pt>
                <c:pt idx="54">
                  <c:v>20.2</c:v>
                </c:pt>
                <c:pt idx="55">
                  <c:v>22.4</c:v>
                </c:pt>
                <c:pt idx="56">
                  <c:v>24.4</c:v>
                </c:pt>
                <c:pt idx="57">
                  <c:v>27.4</c:v>
                </c:pt>
                <c:pt idx="58">
                  <c:v>30.2</c:v>
                </c:pt>
                <c:pt idx="59">
                  <c:v>32.9</c:v>
                </c:pt>
                <c:pt idx="60">
                  <c:v>33.6</c:v>
                </c:pt>
                <c:pt idx="61">
                  <c:v>34.7</c:v>
                </c:pt>
                <c:pt idx="62">
                  <c:v>34.4</c:v>
                </c:pt>
                <c:pt idx="63">
                  <c:v>30.9</c:v>
                </c:pt>
                <c:pt idx="64">
                  <c:v>32.5</c:v>
                </c:pt>
                <c:pt idx="65">
                  <c:v>34.5</c:v>
                </c:pt>
                <c:pt idx="66">
                  <c:v>34.80000000000001</c:v>
                </c:pt>
                <c:pt idx="67">
                  <c:v>31.2</c:v>
                </c:pt>
                <c:pt idx="68">
                  <c:v>29.8</c:v>
                </c:pt>
                <c:pt idx="69">
                  <c:v>30.3</c:v>
                </c:pt>
                <c:pt idx="70">
                  <c:v>30.4</c:v>
                </c:pt>
                <c:pt idx="71">
                  <c:v>30.8</c:v>
                </c:pt>
                <c:pt idx="72">
                  <c:v>30.3</c:v>
                </c:pt>
                <c:pt idx="73">
                  <c:v>30.2</c:v>
                </c:pt>
                <c:pt idx="74">
                  <c:v>29.5</c:v>
                </c:pt>
                <c:pt idx="75">
                  <c:v>31.6</c:v>
                </c:pt>
                <c:pt idx="76">
                  <c:v>33.2</c:v>
                </c:pt>
                <c:pt idx="77">
                  <c:v>33.5</c:v>
                </c:pt>
                <c:pt idx="78">
                  <c:v>34.0</c:v>
                </c:pt>
                <c:pt idx="79">
                  <c:v>37.1</c:v>
                </c:pt>
                <c:pt idx="80">
                  <c:v>38.4</c:v>
                </c:pt>
                <c:pt idx="81">
                  <c:v>36.5</c:v>
                </c:pt>
                <c:pt idx="82">
                  <c:v>34.1</c:v>
                </c:pt>
                <c:pt idx="83">
                  <c:v>33.0</c:v>
                </c:pt>
                <c:pt idx="84">
                  <c:v>32.0</c:v>
                </c:pt>
                <c:pt idx="85">
                  <c:v>30.2</c:v>
                </c:pt>
                <c:pt idx="86">
                  <c:v>29.8</c:v>
                </c:pt>
                <c:pt idx="87">
                  <c:v>27.8</c:v>
                </c:pt>
                <c:pt idx="88">
                  <c:v>27.5</c:v>
                </c:pt>
                <c:pt idx="89">
                  <c:v>26.4</c:v>
                </c:pt>
                <c:pt idx="90">
                  <c:v>26.1</c:v>
                </c:pt>
                <c:pt idx="91">
                  <c:v>23.1</c:v>
                </c:pt>
                <c:pt idx="92">
                  <c:v>23.1</c:v>
                </c:pt>
                <c:pt idx="93">
                  <c:v>23.9</c:v>
                </c:pt>
                <c:pt idx="94">
                  <c:v>25.1</c:v>
                </c:pt>
                <c:pt idx="95">
                  <c:v>25.6</c:v>
                </c:pt>
                <c:pt idx="96">
                  <c:v>22.1</c:v>
                </c:pt>
                <c:pt idx="97">
                  <c:v>21.1</c:v>
                </c:pt>
                <c:pt idx="98">
                  <c:v>17.7</c:v>
                </c:pt>
                <c:pt idx="99">
                  <c:v>15.7</c:v>
                </c:pt>
                <c:pt idx="100">
                  <c:v>14.69155</c:v>
                </c:pt>
                <c:pt idx="101">
                  <c:v>14.0</c:v>
                </c:pt>
                <c:pt idx="102">
                  <c:v>14.394</c:v>
                </c:pt>
                <c:pt idx="103">
                  <c:v>15.47</c:v>
                </c:pt>
                <c:pt idx="104">
                  <c:v>14.41</c:v>
                </c:pt>
                <c:pt idx="105">
                  <c:v>14.01096008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1620584"/>
        <c:axId val="2081622696"/>
      </c:lineChart>
      <c:catAx>
        <c:axId val="2081620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2081622696"/>
        <c:crosses val="autoZero"/>
        <c:auto val="1"/>
        <c:lblAlgn val="ctr"/>
        <c:lblOffset val="100"/>
        <c:tickLblSkip val="5"/>
        <c:noMultiLvlLbl val="0"/>
      </c:catAx>
      <c:valAx>
        <c:axId val="20816226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Flock</a:t>
                </a:r>
                <a:r>
                  <a:rPr lang="en-AU" baseline="0"/>
                  <a:t> size</a:t>
                </a:r>
                <a:r>
                  <a:rPr lang="en-AU"/>
                  <a:t> (million head)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81620584"/>
        <c:crosses val="autoZero"/>
        <c:crossBetween val="between"/>
        <c:majorUnit val="10.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Turn-off</c:v>
                </c:pt>
              </c:strCache>
            </c:strRef>
          </c:tx>
          <c:invertIfNegative val="0"/>
          <c:dLbls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2005.0</c:v>
                </c:pt>
                <c:pt idx="1">
                  <c:v>2006.0</c:v>
                </c:pt>
                <c:pt idx="2">
                  <c:v>2007.0</c:v>
                </c:pt>
                <c:pt idx="3">
                  <c:v>2008.0</c:v>
                </c:pt>
                <c:pt idx="4">
                  <c:v>2009.0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2013.0</c:v>
                </c:pt>
                <c:pt idx="9">
                  <c:v>2014.0</c:v>
                </c:pt>
                <c:pt idx="10">
                  <c:v>2015.0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7.463274</c:v>
                </c:pt>
                <c:pt idx="1">
                  <c:v>8.319460000000002</c:v>
                </c:pt>
                <c:pt idx="2">
                  <c:v>8.395943</c:v>
                </c:pt>
                <c:pt idx="3">
                  <c:v>8.139989000000001</c:v>
                </c:pt>
                <c:pt idx="4">
                  <c:v>7.760802000000002</c:v>
                </c:pt>
                <c:pt idx="5">
                  <c:v>5.951468</c:v>
                </c:pt>
                <c:pt idx="6">
                  <c:v>6.912402</c:v>
                </c:pt>
                <c:pt idx="7">
                  <c:v>4.351106999999999</c:v>
                </c:pt>
                <c:pt idx="8">
                  <c:v>5.194254</c:v>
                </c:pt>
                <c:pt idx="9">
                  <c:v>5.887947999999999</c:v>
                </c:pt>
                <c:pt idx="10">
                  <c:v>5.512175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1327640"/>
        <c:axId val="208133071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WA sheep population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2005.0</c:v>
                </c:pt>
                <c:pt idx="1">
                  <c:v>2006.0</c:v>
                </c:pt>
                <c:pt idx="2">
                  <c:v>2007.0</c:v>
                </c:pt>
                <c:pt idx="3">
                  <c:v>2008.0</c:v>
                </c:pt>
                <c:pt idx="4">
                  <c:v>2009.0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2013.0</c:v>
                </c:pt>
                <c:pt idx="9">
                  <c:v>2014.0</c:v>
                </c:pt>
                <c:pt idx="10">
                  <c:v>2015.0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25.6</c:v>
                </c:pt>
                <c:pt idx="1">
                  <c:v>22.1</c:v>
                </c:pt>
                <c:pt idx="2">
                  <c:v>21.1</c:v>
                </c:pt>
                <c:pt idx="3">
                  <c:v>17.7</c:v>
                </c:pt>
                <c:pt idx="4">
                  <c:v>15.7</c:v>
                </c:pt>
                <c:pt idx="5">
                  <c:v>14.69155</c:v>
                </c:pt>
                <c:pt idx="6">
                  <c:v>14.0</c:v>
                </c:pt>
                <c:pt idx="7">
                  <c:v>14.394</c:v>
                </c:pt>
                <c:pt idx="8">
                  <c:v>15.47</c:v>
                </c:pt>
                <c:pt idx="9">
                  <c:v>14.41</c:v>
                </c:pt>
                <c:pt idx="10">
                  <c:v>14.01096008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1327640"/>
        <c:axId val="2081330712"/>
      </c:lineChart>
      <c:catAx>
        <c:axId val="2081327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2081330712"/>
        <c:crosses val="autoZero"/>
        <c:auto val="1"/>
        <c:lblAlgn val="ctr"/>
        <c:lblOffset val="100"/>
        <c:noMultiLvlLbl val="0"/>
      </c:catAx>
      <c:valAx>
        <c:axId val="2081330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/>
                  <a:t>Million head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8132764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percentStacked"/>
        <c:varyColors val="0"/>
        <c:ser>
          <c:idx val="0"/>
          <c:order val="0"/>
          <c:tx>
            <c:strRef>
              <c:f>Sheet2!$B$2</c:f>
              <c:strCache>
                <c:ptCount val="1"/>
                <c:pt idx="0">
                  <c:v>Ewes</c:v>
                </c:pt>
              </c:strCache>
            </c:strRef>
          </c:tx>
          <c:cat>
            <c:numRef>
              <c:f>Sheet2!$A$3:$A$27</c:f>
              <c:numCache>
                <c:formatCode>General</c:formatCode>
                <c:ptCount val="25"/>
                <c:pt idx="0">
                  <c:v>1990.0</c:v>
                </c:pt>
                <c:pt idx="1">
                  <c:v>1991.0</c:v>
                </c:pt>
                <c:pt idx="2">
                  <c:v>1992.0</c:v>
                </c:pt>
                <c:pt idx="3">
                  <c:v>1993.0</c:v>
                </c:pt>
                <c:pt idx="4">
                  <c:v>1994.0</c:v>
                </c:pt>
                <c:pt idx="5">
                  <c:v>1995.0</c:v>
                </c:pt>
                <c:pt idx="6">
                  <c:v>1996.0</c:v>
                </c:pt>
                <c:pt idx="7">
                  <c:v>1997.0</c:v>
                </c:pt>
                <c:pt idx="8">
                  <c:v>1998.0</c:v>
                </c:pt>
                <c:pt idx="9">
                  <c:v>1999.0</c:v>
                </c:pt>
                <c:pt idx="10">
                  <c:v>2000.0</c:v>
                </c:pt>
                <c:pt idx="11">
                  <c:v>2001.0</c:v>
                </c:pt>
                <c:pt idx="12">
                  <c:v>2002.0</c:v>
                </c:pt>
                <c:pt idx="13">
                  <c:v>2003.0</c:v>
                </c:pt>
                <c:pt idx="14">
                  <c:v>2004.0</c:v>
                </c:pt>
                <c:pt idx="15">
                  <c:v>2005.0</c:v>
                </c:pt>
                <c:pt idx="16">
                  <c:v>2006.0</c:v>
                </c:pt>
                <c:pt idx="17">
                  <c:v>2007.0</c:v>
                </c:pt>
                <c:pt idx="18">
                  <c:v>2008.0</c:v>
                </c:pt>
                <c:pt idx="19">
                  <c:v>2009.0</c:v>
                </c:pt>
                <c:pt idx="20">
                  <c:v>2010.0</c:v>
                </c:pt>
                <c:pt idx="21">
                  <c:v>2011.0</c:v>
                </c:pt>
                <c:pt idx="22">
                  <c:v>2012.0</c:v>
                </c:pt>
                <c:pt idx="23">
                  <c:v>2013.0</c:v>
                </c:pt>
                <c:pt idx="24">
                  <c:v>2014.0</c:v>
                </c:pt>
              </c:numCache>
            </c:numRef>
          </c:cat>
          <c:val>
            <c:numRef>
              <c:f>Sheet2!$B$3:$B$27</c:f>
              <c:numCache>
                <c:formatCode>0%</c:formatCode>
                <c:ptCount val="25"/>
                <c:pt idx="0">
                  <c:v>0.450558659217877</c:v>
                </c:pt>
                <c:pt idx="1">
                  <c:v>0.455545643770443</c:v>
                </c:pt>
                <c:pt idx="2">
                  <c:v>0.447645600991326</c:v>
                </c:pt>
                <c:pt idx="3">
                  <c:v>0.455681818181818</c:v>
                </c:pt>
                <c:pt idx="4">
                  <c:v>0.496307237813885</c:v>
                </c:pt>
                <c:pt idx="5">
                  <c:v>0.497882637628554</c:v>
                </c:pt>
                <c:pt idx="6">
                  <c:v>0.485148514851485</c:v>
                </c:pt>
                <c:pt idx="7">
                  <c:v>0.549597855227882</c:v>
                </c:pt>
                <c:pt idx="8">
                  <c:v>0.535378180550715</c:v>
                </c:pt>
                <c:pt idx="9">
                  <c:v>0.551748251748252</c:v>
                </c:pt>
                <c:pt idx="10">
                  <c:v>0.563926113726911</c:v>
                </c:pt>
                <c:pt idx="11">
                  <c:v>0.582002337358785</c:v>
                </c:pt>
                <c:pt idx="12">
                  <c:v>0.60080058224163</c:v>
                </c:pt>
                <c:pt idx="13">
                  <c:v>0.6</c:v>
                </c:pt>
                <c:pt idx="14">
                  <c:v>0.594</c:v>
                </c:pt>
                <c:pt idx="15">
                  <c:v>0.593322734499205</c:v>
                </c:pt>
                <c:pt idx="16">
                  <c:v>0.5744301994302</c:v>
                </c:pt>
                <c:pt idx="17">
                  <c:v>0.631099781500364</c:v>
                </c:pt>
                <c:pt idx="18">
                  <c:v>0.639796351294018</c:v>
                </c:pt>
                <c:pt idx="19">
                  <c:v>0.629409070087036</c:v>
                </c:pt>
                <c:pt idx="20">
                  <c:v>0.605755395683453</c:v>
                </c:pt>
                <c:pt idx="21">
                  <c:v>0.62374245472837</c:v>
                </c:pt>
                <c:pt idx="22">
                  <c:v>0.617123617123617</c:v>
                </c:pt>
                <c:pt idx="23">
                  <c:v>0.613414066138798</c:v>
                </c:pt>
                <c:pt idx="24">
                  <c:v>0.605405405405405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DD-49DF-A347-800BA207A0D8}"/>
            </c:ext>
          </c:extLst>
        </c:ser>
        <c:ser>
          <c:idx val="1"/>
          <c:order val="1"/>
          <c:tx>
            <c:strRef>
              <c:f>Sheet2!$C$2</c:f>
              <c:strCache>
                <c:ptCount val="1"/>
                <c:pt idx="0">
                  <c:v>Wethers</c:v>
                </c:pt>
              </c:strCache>
            </c:strRef>
          </c:tx>
          <c:cat>
            <c:numRef>
              <c:f>Sheet2!$A$3:$A$27</c:f>
              <c:numCache>
                <c:formatCode>General</c:formatCode>
                <c:ptCount val="25"/>
                <c:pt idx="0">
                  <c:v>1990.0</c:v>
                </c:pt>
                <c:pt idx="1">
                  <c:v>1991.0</c:v>
                </c:pt>
                <c:pt idx="2">
                  <c:v>1992.0</c:v>
                </c:pt>
                <c:pt idx="3">
                  <c:v>1993.0</c:v>
                </c:pt>
                <c:pt idx="4">
                  <c:v>1994.0</c:v>
                </c:pt>
                <c:pt idx="5">
                  <c:v>1995.0</c:v>
                </c:pt>
                <c:pt idx="6">
                  <c:v>1996.0</c:v>
                </c:pt>
                <c:pt idx="7">
                  <c:v>1997.0</c:v>
                </c:pt>
                <c:pt idx="8">
                  <c:v>1998.0</c:v>
                </c:pt>
                <c:pt idx="9">
                  <c:v>1999.0</c:v>
                </c:pt>
                <c:pt idx="10">
                  <c:v>2000.0</c:v>
                </c:pt>
                <c:pt idx="11">
                  <c:v>2001.0</c:v>
                </c:pt>
                <c:pt idx="12">
                  <c:v>2002.0</c:v>
                </c:pt>
                <c:pt idx="13">
                  <c:v>2003.0</c:v>
                </c:pt>
                <c:pt idx="14">
                  <c:v>2004.0</c:v>
                </c:pt>
                <c:pt idx="15">
                  <c:v>2005.0</c:v>
                </c:pt>
                <c:pt idx="16">
                  <c:v>2006.0</c:v>
                </c:pt>
                <c:pt idx="17">
                  <c:v>2007.0</c:v>
                </c:pt>
                <c:pt idx="18">
                  <c:v>2008.0</c:v>
                </c:pt>
                <c:pt idx="19">
                  <c:v>2009.0</c:v>
                </c:pt>
                <c:pt idx="20">
                  <c:v>2010.0</c:v>
                </c:pt>
                <c:pt idx="21">
                  <c:v>2011.0</c:v>
                </c:pt>
                <c:pt idx="22">
                  <c:v>2012.0</c:v>
                </c:pt>
                <c:pt idx="23">
                  <c:v>2013.0</c:v>
                </c:pt>
                <c:pt idx="24">
                  <c:v>2014.0</c:v>
                </c:pt>
              </c:numCache>
            </c:numRef>
          </c:cat>
          <c:val>
            <c:numRef>
              <c:f>Sheet2!$C$3:$C$27</c:f>
              <c:numCache>
                <c:formatCode>0%</c:formatCode>
                <c:ptCount val="25"/>
                <c:pt idx="0">
                  <c:v>0.323184357541899</c:v>
                </c:pt>
                <c:pt idx="1">
                  <c:v>0.346119536128457</c:v>
                </c:pt>
                <c:pt idx="2">
                  <c:v>0.361214374225527</c:v>
                </c:pt>
                <c:pt idx="3">
                  <c:v>0.333806818181818</c:v>
                </c:pt>
                <c:pt idx="4">
                  <c:v>0.280354505169867</c:v>
                </c:pt>
                <c:pt idx="5">
                  <c:v>0.274954627949183</c:v>
                </c:pt>
                <c:pt idx="6">
                  <c:v>0.292079207920792</c:v>
                </c:pt>
                <c:pt idx="7">
                  <c:v>0.193364611260054</c:v>
                </c:pt>
                <c:pt idx="8">
                  <c:v>0.198675496688742</c:v>
                </c:pt>
                <c:pt idx="9">
                  <c:v>0.205944055944056</c:v>
                </c:pt>
                <c:pt idx="10">
                  <c:v>0.145599420499819</c:v>
                </c:pt>
                <c:pt idx="11">
                  <c:v>0.17452278924815</c:v>
                </c:pt>
                <c:pt idx="12">
                  <c:v>0.143013100436681</c:v>
                </c:pt>
                <c:pt idx="13">
                  <c:v>0.143</c:v>
                </c:pt>
                <c:pt idx="14">
                  <c:v>0.142</c:v>
                </c:pt>
                <c:pt idx="15">
                  <c:v>0.142130365659777</c:v>
                </c:pt>
                <c:pt idx="16">
                  <c:v>0.133547008547009</c:v>
                </c:pt>
                <c:pt idx="17">
                  <c:v>0.142388929351784</c:v>
                </c:pt>
                <c:pt idx="18">
                  <c:v>0.106915570640645</c:v>
                </c:pt>
                <c:pt idx="19">
                  <c:v>0.0920751259734311</c:v>
                </c:pt>
                <c:pt idx="20">
                  <c:v>0.0959232613908873</c:v>
                </c:pt>
                <c:pt idx="21">
                  <c:v>0.0699195171026157</c:v>
                </c:pt>
                <c:pt idx="22">
                  <c:v>0.102934102934103</c:v>
                </c:pt>
                <c:pt idx="23">
                  <c:v>0.107591988821612</c:v>
                </c:pt>
                <c:pt idx="24">
                  <c:v>0.0927927927927928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DD-49DF-A347-800BA207A0D8}"/>
            </c:ext>
          </c:extLst>
        </c:ser>
        <c:ser>
          <c:idx val="2"/>
          <c:order val="2"/>
          <c:tx>
            <c:strRef>
              <c:f>Sheet2!$D$2</c:f>
              <c:strCache>
                <c:ptCount val="1"/>
                <c:pt idx="0">
                  <c:v>Lambs</c:v>
                </c:pt>
              </c:strCache>
            </c:strRef>
          </c:tx>
          <c:cat>
            <c:numRef>
              <c:f>Sheet2!$A$3:$A$27</c:f>
              <c:numCache>
                <c:formatCode>General</c:formatCode>
                <c:ptCount val="25"/>
                <c:pt idx="0">
                  <c:v>1990.0</c:v>
                </c:pt>
                <c:pt idx="1">
                  <c:v>1991.0</c:v>
                </c:pt>
                <c:pt idx="2">
                  <c:v>1992.0</c:v>
                </c:pt>
                <c:pt idx="3">
                  <c:v>1993.0</c:v>
                </c:pt>
                <c:pt idx="4">
                  <c:v>1994.0</c:v>
                </c:pt>
                <c:pt idx="5">
                  <c:v>1995.0</c:v>
                </c:pt>
                <c:pt idx="6">
                  <c:v>1996.0</c:v>
                </c:pt>
                <c:pt idx="7">
                  <c:v>1997.0</c:v>
                </c:pt>
                <c:pt idx="8">
                  <c:v>1998.0</c:v>
                </c:pt>
                <c:pt idx="9">
                  <c:v>1999.0</c:v>
                </c:pt>
                <c:pt idx="10">
                  <c:v>2000.0</c:v>
                </c:pt>
                <c:pt idx="11">
                  <c:v>2001.0</c:v>
                </c:pt>
                <c:pt idx="12">
                  <c:v>2002.0</c:v>
                </c:pt>
                <c:pt idx="13">
                  <c:v>2003.0</c:v>
                </c:pt>
                <c:pt idx="14">
                  <c:v>2004.0</c:v>
                </c:pt>
                <c:pt idx="15">
                  <c:v>2005.0</c:v>
                </c:pt>
                <c:pt idx="16">
                  <c:v>2006.0</c:v>
                </c:pt>
                <c:pt idx="17">
                  <c:v>2007.0</c:v>
                </c:pt>
                <c:pt idx="18">
                  <c:v>2008.0</c:v>
                </c:pt>
                <c:pt idx="19">
                  <c:v>2009.0</c:v>
                </c:pt>
                <c:pt idx="20">
                  <c:v>2010.0</c:v>
                </c:pt>
                <c:pt idx="21">
                  <c:v>2011.0</c:v>
                </c:pt>
                <c:pt idx="22">
                  <c:v>2012.0</c:v>
                </c:pt>
                <c:pt idx="23">
                  <c:v>2013.0</c:v>
                </c:pt>
                <c:pt idx="24">
                  <c:v>2014.0</c:v>
                </c:pt>
              </c:numCache>
            </c:numRef>
          </c:cat>
          <c:val>
            <c:numRef>
              <c:f>Sheet2!$D$3:$D$27</c:f>
              <c:numCache>
                <c:formatCode>0%</c:formatCode>
                <c:ptCount val="25"/>
                <c:pt idx="0">
                  <c:v>0.213128491620112</c:v>
                </c:pt>
                <c:pt idx="1">
                  <c:v>0.187630092179602</c:v>
                </c:pt>
                <c:pt idx="2">
                  <c:v>0.180607187112763</c:v>
                </c:pt>
                <c:pt idx="3">
                  <c:v>0.197159090909091</c:v>
                </c:pt>
                <c:pt idx="4">
                  <c:v>0.20768094534712</c:v>
                </c:pt>
                <c:pt idx="5">
                  <c:v>0.212341197822142</c:v>
                </c:pt>
                <c:pt idx="6">
                  <c:v>0.209777227722772</c:v>
                </c:pt>
                <c:pt idx="7">
                  <c:v>0.239276139410188</c:v>
                </c:pt>
                <c:pt idx="8">
                  <c:v>0.250261415127222</c:v>
                </c:pt>
                <c:pt idx="9">
                  <c:v>0.227272727272727</c:v>
                </c:pt>
                <c:pt idx="10">
                  <c:v>0.27345164795364</c:v>
                </c:pt>
                <c:pt idx="11">
                  <c:v>0.221269964939618</c:v>
                </c:pt>
                <c:pt idx="12">
                  <c:v>0.241266375545852</c:v>
                </c:pt>
                <c:pt idx="13">
                  <c:v>0.241</c:v>
                </c:pt>
                <c:pt idx="14">
                  <c:v>0.25</c:v>
                </c:pt>
                <c:pt idx="15">
                  <c:v>0.251828298887122</c:v>
                </c:pt>
                <c:pt idx="16">
                  <c:v>0.278133903133903</c:v>
                </c:pt>
                <c:pt idx="17">
                  <c:v>0.211944646758922</c:v>
                </c:pt>
                <c:pt idx="18">
                  <c:v>0.236317352566822</c:v>
                </c:pt>
                <c:pt idx="19">
                  <c:v>0.261108566193312</c:v>
                </c:pt>
                <c:pt idx="20">
                  <c:v>0.279136690647482</c:v>
                </c:pt>
                <c:pt idx="21">
                  <c:v>0.288732394366197</c:v>
                </c:pt>
                <c:pt idx="22">
                  <c:v>0.263107263107263</c:v>
                </c:pt>
                <c:pt idx="23">
                  <c:v>0.261294829995342</c:v>
                </c:pt>
                <c:pt idx="24">
                  <c:v>0.286036036036036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DD-49DF-A347-800BA207A0D8}"/>
            </c:ext>
          </c:extLst>
        </c:ser>
        <c:ser>
          <c:idx val="3"/>
          <c:order val="3"/>
          <c:tx>
            <c:strRef>
              <c:f>Sheet2!$E$2</c:f>
              <c:strCache>
                <c:ptCount val="1"/>
                <c:pt idx="0">
                  <c:v>Rams</c:v>
                </c:pt>
              </c:strCache>
            </c:strRef>
          </c:tx>
          <c:cat>
            <c:numRef>
              <c:f>Sheet2!$A$3:$A$27</c:f>
              <c:numCache>
                <c:formatCode>General</c:formatCode>
                <c:ptCount val="25"/>
                <c:pt idx="0">
                  <c:v>1990.0</c:v>
                </c:pt>
                <c:pt idx="1">
                  <c:v>1991.0</c:v>
                </c:pt>
                <c:pt idx="2">
                  <c:v>1992.0</c:v>
                </c:pt>
                <c:pt idx="3">
                  <c:v>1993.0</c:v>
                </c:pt>
                <c:pt idx="4">
                  <c:v>1994.0</c:v>
                </c:pt>
                <c:pt idx="5">
                  <c:v>1995.0</c:v>
                </c:pt>
                <c:pt idx="6">
                  <c:v>1996.0</c:v>
                </c:pt>
                <c:pt idx="7">
                  <c:v>1997.0</c:v>
                </c:pt>
                <c:pt idx="8">
                  <c:v>1998.0</c:v>
                </c:pt>
                <c:pt idx="9">
                  <c:v>1999.0</c:v>
                </c:pt>
                <c:pt idx="10">
                  <c:v>2000.0</c:v>
                </c:pt>
                <c:pt idx="11">
                  <c:v>2001.0</c:v>
                </c:pt>
                <c:pt idx="12">
                  <c:v>2002.0</c:v>
                </c:pt>
                <c:pt idx="13">
                  <c:v>2003.0</c:v>
                </c:pt>
                <c:pt idx="14">
                  <c:v>2004.0</c:v>
                </c:pt>
                <c:pt idx="15">
                  <c:v>2005.0</c:v>
                </c:pt>
                <c:pt idx="16">
                  <c:v>2006.0</c:v>
                </c:pt>
                <c:pt idx="17">
                  <c:v>2007.0</c:v>
                </c:pt>
                <c:pt idx="18">
                  <c:v>2008.0</c:v>
                </c:pt>
                <c:pt idx="19">
                  <c:v>2009.0</c:v>
                </c:pt>
                <c:pt idx="20">
                  <c:v>2010.0</c:v>
                </c:pt>
                <c:pt idx="21">
                  <c:v>2011.0</c:v>
                </c:pt>
                <c:pt idx="22">
                  <c:v>2012.0</c:v>
                </c:pt>
                <c:pt idx="23">
                  <c:v>2013.0</c:v>
                </c:pt>
                <c:pt idx="24">
                  <c:v>2014.0</c:v>
                </c:pt>
              </c:numCache>
            </c:numRef>
          </c:cat>
          <c:val>
            <c:numRef>
              <c:f>Sheet2!$E$3:$E$27</c:f>
              <c:numCache>
                <c:formatCode>0%</c:formatCode>
                <c:ptCount val="25"/>
                <c:pt idx="0">
                  <c:v>0.0131284916201117</c:v>
                </c:pt>
                <c:pt idx="1">
                  <c:v>0.0107047279214987</c:v>
                </c:pt>
                <c:pt idx="2">
                  <c:v>0.0105328376703841</c:v>
                </c:pt>
                <c:pt idx="3">
                  <c:v>0.0133522727272727</c:v>
                </c:pt>
                <c:pt idx="4">
                  <c:v>0.0156573116691285</c:v>
                </c:pt>
                <c:pt idx="5">
                  <c:v>0.014821536600121</c:v>
                </c:pt>
                <c:pt idx="6">
                  <c:v>0.0129950495049505</c:v>
                </c:pt>
                <c:pt idx="7">
                  <c:v>0.0180965147453083</c:v>
                </c:pt>
                <c:pt idx="8">
                  <c:v>0.0156849076333217</c:v>
                </c:pt>
                <c:pt idx="9">
                  <c:v>0.015034965034965</c:v>
                </c:pt>
                <c:pt idx="10">
                  <c:v>0.0166606302064469</c:v>
                </c:pt>
                <c:pt idx="11">
                  <c:v>0.0222049084534476</c:v>
                </c:pt>
                <c:pt idx="12">
                  <c:v>0.014919941775837</c:v>
                </c:pt>
                <c:pt idx="13">
                  <c:v>0.014</c:v>
                </c:pt>
                <c:pt idx="14">
                  <c:v>0.012</c:v>
                </c:pt>
                <c:pt idx="15">
                  <c:v>0.0127186009538951</c:v>
                </c:pt>
                <c:pt idx="16">
                  <c:v>0.0138888888888889</c:v>
                </c:pt>
                <c:pt idx="17">
                  <c:v>0.0145666423889293</c:v>
                </c:pt>
                <c:pt idx="18">
                  <c:v>0.0165464573610522</c:v>
                </c:pt>
                <c:pt idx="19">
                  <c:v>0.0178653229500687</c:v>
                </c:pt>
                <c:pt idx="20">
                  <c:v>0.0191846522781775</c:v>
                </c:pt>
                <c:pt idx="21">
                  <c:v>0.0181086519114688</c:v>
                </c:pt>
                <c:pt idx="22">
                  <c:v>0.0163540163540163</c:v>
                </c:pt>
                <c:pt idx="23">
                  <c:v>0.0181648812296227</c:v>
                </c:pt>
                <c:pt idx="24">
                  <c:v>0.0157657657657658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DD-49DF-A347-800BA207A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3773928"/>
        <c:axId val="2083777080"/>
      </c:areaChart>
      <c:catAx>
        <c:axId val="2083773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3777080"/>
        <c:crosses val="autoZero"/>
        <c:auto val="1"/>
        <c:lblAlgn val="ctr"/>
        <c:lblOffset val="100"/>
        <c:noMultiLvlLbl val="0"/>
      </c:catAx>
      <c:valAx>
        <c:axId val="2083777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83773928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BD25-CE75-424C-AE19-18D5D572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1752</Words>
  <Characters>9992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Pritchett, Kate</dc:creator>
  <cp:lastModifiedBy>Rob Warburton</cp:lastModifiedBy>
  <cp:revision>2</cp:revision>
  <dcterms:created xsi:type="dcterms:W3CDTF">2016-08-22T03:36:00Z</dcterms:created>
  <dcterms:modified xsi:type="dcterms:W3CDTF">2016-08-22T03:36:00Z</dcterms:modified>
</cp:coreProperties>
</file>